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53" w:rsidRDefault="00C03E53" w:rsidP="00C03E53">
      <w:pPr>
        <w:jc w:val="center"/>
      </w:pPr>
      <w:r w:rsidRPr="00C03E53">
        <w:drawing>
          <wp:inline distT="0" distB="0" distL="0" distR="0">
            <wp:extent cx="6429375" cy="36480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03E53" w:rsidRDefault="00C03E53" w:rsidP="00C03E53"/>
    <w:p w:rsidR="00C03E53" w:rsidRDefault="00C03E53" w:rsidP="00C03E53">
      <w:pPr>
        <w:jc w:val="center"/>
      </w:pPr>
      <w:r w:rsidRPr="00C03E53">
        <w:drawing>
          <wp:inline distT="0" distB="0" distL="0" distR="0">
            <wp:extent cx="6381750" cy="37909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03E53" w:rsidRDefault="00C03E53" w:rsidP="00C03E53"/>
    <w:p w:rsidR="00C03E53" w:rsidRDefault="00C03E53" w:rsidP="00C03E53">
      <w:pPr>
        <w:tabs>
          <w:tab w:val="left" w:pos="0"/>
        </w:tabs>
      </w:pPr>
      <w:r>
        <w:lastRenderedPageBreak/>
        <w:tab/>
      </w:r>
      <w:r w:rsidRPr="00C03E53">
        <w:drawing>
          <wp:inline distT="0" distB="0" distL="0" distR="0">
            <wp:extent cx="5924550" cy="39433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03E53" w:rsidRDefault="00C03E53" w:rsidP="00C03E53"/>
    <w:p w:rsidR="00C03E53" w:rsidRDefault="00C03E53" w:rsidP="00C03E53">
      <w:pPr>
        <w:tabs>
          <w:tab w:val="left" w:pos="1545"/>
        </w:tabs>
        <w:jc w:val="center"/>
      </w:pPr>
      <w:r w:rsidRPr="00C03E53">
        <w:drawing>
          <wp:inline distT="0" distB="0" distL="0" distR="0">
            <wp:extent cx="6505575" cy="4029075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03E53" w:rsidRDefault="00C03E53" w:rsidP="00C03E53"/>
    <w:p w:rsidR="00A12033" w:rsidRDefault="00C03E53" w:rsidP="00C03E53">
      <w:pPr>
        <w:tabs>
          <w:tab w:val="left" w:pos="3180"/>
        </w:tabs>
      </w:pPr>
      <w:r>
        <w:tab/>
      </w:r>
    </w:p>
    <w:p w:rsidR="00C03E53" w:rsidRDefault="00C03E53" w:rsidP="00C03E53">
      <w:pPr>
        <w:tabs>
          <w:tab w:val="left" w:pos="3180"/>
        </w:tabs>
      </w:pPr>
    </w:p>
    <w:p w:rsidR="00C03E53" w:rsidRDefault="00C03E53" w:rsidP="00C03E53">
      <w:pPr>
        <w:tabs>
          <w:tab w:val="left" w:pos="3180"/>
        </w:tabs>
      </w:pPr>
    </w:p>
    <w:p w:rsidR="00C03E53" w:rsidRDefault="00C03E53" w:rsidP="00C03E53">
      <w:pPr>
        <w:tabs>
          <w:tab w:val="left" w:pos="3180"/>
        </w:tabs>
      </w:pPr>
      <w:r w:rsidRPr="00C03E53">
        <w:drawing>
          <wp:inline distT="0" distB="0" distL="0" distR="0">
            <wp:extent cx="6562725" cy="370522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03E53" w:rsidRDefault="00C03E53" w:rsidP="00C03E53"/>
    <w:p w:rsidR="00C03E53" w:rsidRDefault="00C03E53" w:rsidP="00C03E53">
      <w:pPr>
        <w:jc w:val="center"/>
      </w:pPr>
      <w:r w:rsidRPr="00C03E53">
        <w:drawing>
          <wp:inline distT="0" distB="0" distL="0" distR="0">
            <wp:extent cx="6667500" cy="409575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03E53" w:rsidRDefault="00C03E53" w:rsidP="00C03E53"/>
    <w:p w:rsidR="00C03E53" w:rsidRDefault="00C03E53" w:rsidP="00C03E53">
      <w:pPr>
        <w:tabs>
          <w:tab w:val="left" w:pos="2070"/>
        </w:tabs>
      </w:pPr>
      <w:r>
        <w:tab/>
      </w:r>
    </w:p>
    <w:p w:rsidR="00C03E53" w:rsidRDefault="00C03E53" w:rsidP="00C03E53">
      <w:pPr>
        <w:tabs>
          <w:tab w:val="left" w:pos="2070"/>
        </w:tabs>
      </w:pPr>
    </w:p>
    <w:p w:rsidR="00C03E53" w:rsidRDefault="00C03E53" w:rsidP="00C03E53">
      <w:pPr>
        <w:tabs>
          <w:tab w:val="left" w:pos="2070"/>
        </w:tabs>
      </w:pPr>
    </w:p>
    <w:p w:rsidR="00C03E53" w:rsidRDefault="00C03E53" w:rsidP="00C03E53">
      <w:pPr>
        <w:tabs>
          <w:tab w:val="left" w:pos="2070"/>
        </w:tabs>
      </w:pPr>
      <w:r w:rsidRPr="00C03E53">
        <w:drawing>
          <wp:inline distT="0" distB="0" distL="0" distR="0">
            <wp:extent cx="6610350" cy="398145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03E53" w:rsidRPr="00C03E53" w:rsidRDefault="00C03E53" w:rsidP="00C03E53"/>
    <w:p w:rsidR="00C03E53" w:rsidRDefault="00C03E53" w:rsidP="00C03E53"/>
    <w:p w:rsidR="004E0000" w:rsidRDefault="00C03E53" w:rsidP="00C03E53">
      <w:pPr>
        <w:ind w:firstLine="142"/>
        <w:jc w:val="center"/>
      </w:pPr>
      <w:r w:rsidRPr="00C03E53">
        <w:drawing>
          <wp:inline distT="0" distB="0" distL="0" distR="0">
            <wp:extent cx="6610350" cy="382905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E0000" w:rsidRDefault="004E0000" w:rsidP="004E0000"/>
    <w:p w:rsidR="00C03E53" w:rsidRDefault="00C03E53" w:rsidP="004E0000">
      <w:pPr>
        <w:ind w:firstLine="708"/>
      </w:pPr>
    </w:p>
    <w:p w:rsidR="004E0000" w:rsidRDefault="004E0000" w:rsidP="004E0000">
      <w:pPr>
        <w:ind w:firstLine="708"/>
      </w:pPr>
    </w:p>
    <w:p w:rsidR="004E0000" w:rsidRDefault="004E0000" w:rsidP="004E0000">
      <w:pPr>
        <w:ind w:firstLine="708"/>
      </w:pPr>
      <w:r w:rsidRPr="004E0000">
        <w:drawing>
          <wp:inline distT="0" distB="0" distL="0" distR="0">
            <wp:extent cx="6000750" cy="3838575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E0000" w:rsidRPr="004E0000" w:rsidRDefault="004E0000" w:rsidP="004E0000"/>
    <w:p w:rsidR="004E0000" w:rsidRDefault="004E0000" w:rsidP="004E0000"/>
    <w:p w:rsidR="004E0000" w:rsidRDefault="004E0000" w:rsidP="004E0000">
      <w:pPr>
        <w:tabs>
          <w:tab w:val="left" w:pos="1320"/>
        </w:tabs>
        <w:jc w:val="center"/>
      </w:pPr>
      <w:r w:rsidRPr="004E0000">
        <w:drawing>
          <wp:inline distT="0" distB="0" distL="0" distR="0">
            <wp:extent cx="6267450" cy="41529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E0000" w:rsidRDefault="004E0000" w:rsidP="004E0000"/>
    <w:p w:rsidR="004E0000" w:rsidRDefault="004E0000" w:rsidP="004E0000">
      <w:pPr>
        <w:tabs>
          <w:tab w:val="left" w:pos="1395"/>
        </w:tabs>
      </w:pPr>
      <w:r>
        <w:lastRenderedPageBreak/>
        <w:tab/>
      </w:r>
    </w:p>
    <w:p w:rsidR="004E0000" w:rsidRDefault="004E0000" w:rsidP="004E0000">
      <w:pPr>
        <w:tabs>
          <w:tab w:val="left" w:pos="1395"/>
        </w:tabs>
      </w:pPr>
    </w:p>
    <w:p w:rsidR="004E0000" w:rsidRDefault="00916B77" w:rsidP="004E0000">
      <w:pPr>
        <w:tabs>
          <w:tab w:val="left" w:pos="1395"/>
        </w:tabs>
      </w:pPr>
      <w:r w:rsidRPr="00916B77">
        <w:drawing>
          <wp:inline distT="0" distB="0" distL="0" distR="0">
            <wp:extent cx="6543675" cy="4335145"/>
            <wp:effectExtent l="19050" t="0" r="9525" b="8255"/>
            <wp:docPr id="16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E0000" w:rsidRDefault="004E0000" w:rsidP="004E0000"/>
    <w:p w:rsidR="00916B77" w:rsidRDefault="00916B77" w:rsidP="004E0000">
      <w:pPr>
        <w:ind w:firstLine="708"/>
      </w:pPr>
    </w:p>
    <w:p w:rsidR="00916B77" w:rsidRDefault="00916B77" w:rsidP="00916B77">
      <w:pPr>
        <w:jc w:val="center"/>
      </w:pPr>
      <w:r w:rsidRPr="00916B77">
        <w:lastRenderedPageBreak/>
        <w:drawing>
          <wp:inline distT="0" distB="0" distL="0" distR="0">
            <wp:extent cx="6762750" cy="4067175"/>
            <wp:effectExtent l="19050" t="0" r="19050" b="0"/>
            <wp:docPr id="17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E0000" w:rsidRDefault="00916B77" w:rsidP="00916B77">
      <w:pPr>
        <w:tabs>
          <w:tab w:val="left" w:pos="1710"/>
        </w:tabs>
      </w:pPr>
      <w:r>
        <w:tab/>
      </w:r>
    </w:p>
    <w:p w:rsidR="00916B77" w:rsidRDefault="00916B77" w:rsidP="00916B77">
      <w:pPr>
        <w:tabs>
          <w:tab w:val="left" w:pos="1710"/>
        </w:tabs>
      </w:pPr>
      <w:r w:rsidRPr="00916B77">
        <w:drawing>
          <wp:inline distT="0" distB="0" distL="0" distR="0">
            <wp:extent cx="6543675" cy="3867150"/>
            <wp:effectExtent l="19050" t="0" r="9525" b="0"/>
            <wp:docPr id="18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16B77" w:rsidRDefault="00916B77" w:rsidP="00916B77"/>
    <w:p w:rsidR="00916B77" w:rsidRDefault="00916B77" w:rsidP="00916B77">
      <w:pPr>
        <w:jc w:val="center"/>
      </w:pPr>
      <w:r w:rsidRPr="00916B77">
        <w:lastRenderedPageBreak/>
        <w:drawing>
          <wp:inline distT="0" distB="0" distL="0" distR="0">
            <wp:extent cx="6343650" cy="4619625"/>
            <wp:effectExtent l="19050" t="0" r="19050" b="0"/>
            <wp:docPr id="19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16B77" w:rsidRDefault="00916B77" w:rsidP="00916B77"/>
    <w:p w:rsidR="00916B77" w:rsidRDefault="00916B77" w:rsidP="00916B77">
      <w:pPr>
        <w:tabs>
          <w:tab w:val="left" w:pos="1005"/>
        </w:tabs>
      </w:pPr>
      <w:r>
        <w:tab/>
      </w:r>
    </w:p>
    <w:p w:rsidR="00916B77" w:rsidRDefault="00916B77" w:rsidP="00916B77">
      <w:pPr>
        <w:tabs>
          <w:tab w:val="left" w:pos="1005"/>
        </w:tabs>
      </w:pPr>
      <w:r w:rsidRPr="00916B77">
        <w:lastRenderedPageBreak/>
        <w:drawing>
          <wp:inline distT="0" distB="0" distL="0" distR="0">
            <wp:extent cx="6572250" cy="4248150"/>
            <wp:effectExtent l="19050" t="0" r="19050" b="0"/>
            <wp:docPr id="20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16B77" w:rsidRDefault="00916B77" w:rsidP="00916B77">
      <w:pPr>
        <w:tabs>
          <w:tab w:val="left" w:pos="1005"/>
        </w:tabs>
      </w:pPr>
    </w:p>
    <w:p w:rsidR="002B717A" w:rsidRDefault="00916B77" w:rsidP="00916B77">
      <w:pPr>
        <w:jc w:val="center"/>
      </w:pPr>
      <w:r w:rsidRPr="00916B77">
        <w:drawing>
          <wp:inline distT="0" distB="0" distL="0" distR="0">
            <wp:extent cx="6762115" cy="4324350"/>
            <wp:effectExtent l="19050" t="0" r="19685" b="0"/>
            <wp:docPr id="21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16B77" w:rsidRDefault="002B717A" w:rsidP="002B717A">
      <w:pPr>
        <w:tabs>
          <w:tab w:val="left" w:pos="1320"/>
        </w:tabs>
      </w:pPr>
      <w:r>
        <w:tab/>
      </w:r>
    </w:p>
    <w:p w:rsidR="002B717A" w:rsidRDefault="002B717A" w:rsidP="002B717A">
      <w:pPr>
        <w:tabs>
          <w:tab w:val="left" w:pos="1320"/>
        </w:tabs>
      </w:pPr>
    </w:p>
    <w:p w:rsidR="002B717A" w:rsidRDefault="002B717A" w:rsidP="002B717A">
      <w:pPr>
        <w:tabs>
          <w:tab w:val="left" w:pos="0"/>
        </w:tabs>
      </w:pPr>
      <w:r w:rsidRPr="002B717A">
        <w:drawing>
          <wp:inline distT="0" distB="0" distL="0" distR="0">
            <wp:extent cx="6562725" cy="4238625"/>
            <wp:effectExtent l="19050" t="0" r="9525" b="0"/>
            <wp:docPr id="22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B717A" w:rsidRDefault="002B717A" w:rsidP="002B717A"/>
    <w:p w:rsidR="002B717A" w:rsidRDefault="002B717A" w:rsidP="002B717A">
      <w:pPr>
        <w:tabs>
          <w:tab w:val="left" w:pos="0"/>
        </w:tabs>
      </w:pPr>
      <w:r>
        <w:lastRenderedPageBreak/>
        <w:tab/>
      </w:r>
      <w:r w:rsidRPr="002B717A">
        <w:drawing>
          <wp:inline distT="0" distB="0" distL="0" distR="0">
            <wp:extent cx="6562725" cy="4476750"/>
            <wp:effectExtent l="19050" t="0" r="9525" b="0"/>
            <wp:docPr id="23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B717A" w:rsidRDefault="002B717A" w:rsidP="002B717A">
      <w:pPr>
        <w:tabs>
          <w:tab w:val="left" w:pos="0"/>
        </w:tabs>
      </w:pPr>
    </w:p>
    <w:p w:rsidR="002B717A" w:rsidRDefault="002B717A" w:rsidP="002B717A">
      <w:pPr>
        <w:tabs>
          <w:tab w:val="left" w:pos="0"/>
        </w:tabs>
      </w:pPr>
      <w:r w:rsidRPr="002B717A">
        <w:drawing>
          <wp:inline distT="0" distB="0" distL="0" distR="0">
            <wp:extent cx="6772275" cy="3971925"/>
            <wp:effectExtent l="19050" t="0" r="9525" b="0"/>
            <wp:docPr id="24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B717A" w:rsidRDefault="002B717A" w:rsidP="002B717A">
      <w:pPr>
        <w:tabs>
          <w:tab w:val="left" w:pos="1110"/>
        </w:tabs>
      </w:pPr>
      <w:r>
        <w:lastRenderedPageBreak/>
        <w:tab/>
      </w:r>
      <w:r w:rsidRPr="002B717A">
        <w:drawing>
          <wp:inline distT="0" distB="0" distL="0" distR="0">
            <wp:extent cx="6638925" cy="4276725"/>
            <wp:effectExtent l="19050" t="0" r="9525" b="0"/>
            <wp:docPr id="25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B717A" w:rsidRDefault="002B717A" w:rsidP="002B717A"/>
    <w:p w:rsidR="002B717A" w:rsidRDefault="002B717A" w:rsidP="002B717A">
      <w:pPr>
        <w:tabs>
          <w:tab w:val="left" w:pos="1590"/>
        </w:tabs>
      </w:pPr>
      <w:r>
        <w:tab/>
      </w:r>
    </w:p>
    <w:p w:rsidR="002B717A" w:rsidRDefault="002B717A" w:rsidP="002B717A">
      <w:pPr>
        <w:tabs>
          <w:tab w:val="left" w:pos="1590"/>
        </w:tabs>
      </w:pPr>
    </w:p>
    <w:p w:rsidR="002B717A" w:rsidRDefault="002B717A" w:rsidP="002B717A">
      <w:pPr>
        <w:tabs>
          <w:tab w:val="left" w:pos="1590"/>
        </w:tabs>
      </w:pPr>
      <w:r w:rsidRPr="002B717A">
        <w:lastRenderedPageBreak/>
        <w:drawing>
          <wp:inline distT="0" distB="0" distL="0" distR="0">
            <wp:extent cx="6477000" cy="4686300"/>
            <wp:effectExtent l="19050" t="0" r="19050" b="0"/>
            <wp:docPr id="26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B717A" w:rsidRDefault="002B717A" w:rsidP="002B717A">
      <w:r w:rsidRPr="002B717A">
        <w:drawing>
          <wp:inline distT="0" distB="0" distL="0" distR="0">
            <wp:extent cx="6696075" cy="4619625"/>
            <wp:effectExtent l="19050" t="0" r="9525" b="0"/>
            <wp:docPr id="27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81BC4" w:rsidRPr="00781BC4" w:rsidRDefault="00781BC4" w:rsidP="00781BC4">
      <w:r w:rsidRPr="00781BC4">
        <w:lastRenderedPageBreak/>
        <w:drawing>
          <wp:inline distT="0" distB="0" distL="0" distR="0">
            <wp:extent cx="6648450" cy="4067175"/>
            <wp:effectExtent l="19050" t="0" r="19050" b="0"/>
            <wp:docPr id="28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81BC4" w:rsidRPr="00781BC4" w:rsidRDefault="00781BC4" w:rsidP="00781BC4">
      <w:r w:rsidRPr="00781BC4">
        <w:drawing>
          <wp:inline distT="0" distB="0" distL="0" distR="0">
            <wp:extent cx="6724650" cy="5172075"/>
            <wp:effectExtent l="19050" t="0" r="19050" b="0"/>
            <wp:docPr id="30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81BC4" w:rsidRDefault="00781BC4" w:rsidP="00D04029">
      <w:r w:rsidRPr="00781BC4">
        <w:lastRenderedPageBreak/>
        <w:drawing>
          <wp:inline distT="0" distB="0" distL="0" distR="0">
            <wp:extent cx="6572250" cy="5524500"/>
            <wp:effectExtent l="19050" t="0" r="19050" b="0"/>
            <wp:docPr id="31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81BC4" w:rsidRDefault="00D04029" w:rsidP="00781BC4">
      <w:pPr>
        <w:tabs>
          <w:tab w:val="left" w:pos="2130"/>
        </w:tabs>
      </w:pPr>
      <w:r w:rsidRPr="00D04029">
        <w:drawing>
          <wp:inline distT="0" distB="0" distL="0" distR="0">
            <wp:extent cx="6648450" cy="3790950"/>
            <wp:effectExtent l="19050" t="0" r="19050" b="0"/>
            <wp:docPr id="32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D04029" w:rsidRDefault="00D04029" w:rsidP="00781BC4">
      <w:pPr>
        <w:tabs>
          <w:tab w:val="left" w:pos="2130"/>
        </w:tabs>
      </w:pPr>
      <w:r w:rsidRPr="00D04029">
        <w:lastRenderedPageBreak/>
        <w:drawing>
          <wp:inline distT="0" distB="0" distL="0" distR="0">
            <wp:extent cx="6610350" cy="4829175"/>
            <wp:effectExtent l="19050" t="0" r="19050" b="0"/>
            <wp:docPr id="33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81BC4" w:rsidRDefault="00781BC4" w:rsidP="00781BC4">
      <w:pPr>
        <w:tabs>
          <w:tab w:val="left" w:pos="2130"/>
        </w:tabs>
      </w:pPr>
    </w:p>
    <w:p w:rsidR="00781BC4" w:rsidRDefault="00781BC4" w:rsidP="00781BC4">
      <w:pPr>
        <w:tabs>
          <w:tab w:val="left" w:pos="2130"/>
        </w:tabs>
      </w:pPr>
    </w:p>
    <w:p w:rsidR="00781BC4" w:rsidRDefault="00781BC4" w:rsidP="00781BC4">
      <w:pPr>
        <w:tabs>
          <w:tab w:val="left" w:pos="2130"/>
        </w:tabs>
      </w:pPr>
    </w:p>
    <w:p w:rsidR="00781BC4" w:rsidRDefault="00781BC4" w:rsidP="00781BC4">
      <w:pPr>
        <w:tabs>
          <w:tab w:val="left" w:pos="2130"/>
        </w:tabs>
      </w:pPr>
    </w:p>
    <w:p w:rsidR="00781BC4" w:rsidRDefault="00781BC4" w:rsidP="00781BC4">
      <w:pPr>
        <w:tabs>
          <w:tab w:val="left" w:pos="2130"/>
        </w:tabs>
      </w:pPr>
    </w:p>
    <w:p w:rsidR="00781BC4" w:rsidRPr="00781BC4" w:rsidRDefault="00781BC4" w:rsidP="00781BC4">
      <w:pPr>
        <w:tabs>
          <w:tab w:val="left" w:pos="2130"/>
        </w:tabs>
      </w:pPr>
    </w:p>
    <w:sectPr w:rsidR="00781BC4" w:rsidRPr="00781BC4" w:rsidSect="00C03E53">
      <w:footerReference w:type="default" r:id="rId3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FFB" w:rsidRDefault="00980FFB" w:rsidP="00781BC4">
      <w:pPr>
        <w:spacing w:after="0" w:line="240" w:lineRule="auto"/>
      </w:pPr>
      <w:r>
        <w:separator/>
      </w:r>
    </w:p>
  </w:endnote>
  <w:endnote w:type="continuationSeparator" w:id="0">
    <w:p w:rsidR="00980FFB" w:rsidRDefault="00980FFB" w:rsidP="0078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C4" w:rsidRDefault="00781B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FFB" w:rsidRDefault="00980FFB" w:rsidP="00781BC4">
      <w:pPr>
        <w:spacing w:after="0" w:line="240" w:lineRule="auto"/>
      </w:pPr>
      <w:r>
        <w:separator/>
      </w:r>
    </w:p>
  </w:footnote>
  <w:footnote w:type="continuationSeparator" w:id="0">
    <w:p w:rsidR="00980FFB" w:rsidRDefault="00980FFB" w:rsidP="00781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E53"/>
    <w:rsid w:val="002B717A"/>
    <w:rsid w:val="004E0000"/>
    <w:rsid w:val="00781BC4"/>
    <w:rsid w:val="00916B77"/>
    <w:rsid w:val="00980FFB"/>
    <w:rsid w:val="00A12033"/>
    <w:rsid w:val="00BE3879"/>
    <w:rsid w:val="00C03E53"/>
    <w:rsid w:val="00D0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1BC4"/>
  </w:style>
  <w:style w:type="paragraph" w:styleId="a5">
    <w:name w:val="footer"/>
    <w:basedOn w:val="a"/>
    <w:link w:val="a6"/>
    <w:uiPriority w:val="99"/>
    <w:semiHidden/>
    <w:unhideWhenUsed/>
    <w:rsid w:val="0078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1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34" Type="http://schemas.openxmlformats.org/officeDocument/2006/relationships/fontTable" Target="fontTable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8;&#1072;&#1073;&#1083;&#1080;&#1094;&#1099;%20&#1080;%20&#1076;&#1080;&#1072;&#1075;&#1088;&#1072;&#1084;&#1084;&#1099;%20&#1082;%20&#1087;&#1088;&#1086;&#1074;&#1077;&#1088;&#1082;&#1077;\&#1044;&#1080;&#1075;&#1088;&#1072;&#1084;&#1084;&#1099;%20&#1047;&#1076;&#1086;&#1088;&#1086;&#1074;&#1100;&#1103;%202017%20&#1075;&#1076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8;&#1072;&#1073;&#1083;&#1080;&#1094;&#1099;%20&#1080;%20&#1076;&#1080;&#1072;&#1075;&#1088;&#1072;&#1084;&#1084;&#1099;%20&#1082;%20&#1087;&#1088;&#1086;&#1074;&#1077;&#1088;&#1082;&#1077;\&#1044;&#1080;&#1075;&#1088;&#1072;&#1084;&#1084;&#1099;%20&#1047;&#1076;&#1086;&#1088;&#1086;&#1074;&#1100;&#1103;%202017%20&#1075;&#1076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8;&#1072;&#1073;&#1083;&#1080;&#1094;&#1099;%20&#1080;%20&#1076;&#1080;&#1072;&#1075;&#1088;&#1072;&#1084;&#1084;&#1099;%20&#1082;%20&#1087;&#1088;&#1086;&#1074;&#1077;&#1088;&#1082;&#1077;\&#1044;&#1080;&#1075;&#1088;&#1072;&#1084;&#1084;&#1099;%20&#1047;&#1076;&#1086;&#1088;&#1086;&#1074;&#1100;&#1103;%202017%20&#1075;&#1076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8;&#1072;&#1073;&#1083;&#1080;&#1094;&#1099;%20&#1080;%20&#1076;&#1080;&#1072;&#1075;&#1088;&#1072;&#1084;&#1084;&#1099;%20&#1082;%20&#1087;&#1088;&#1086;&#1074;&#1077;&#1088;&#1082;&#1077;\&#1044;&#1080;&#1075;&#1088;&#1072;&#1084;&#1084;&#1099;%20&#1047;&#1076;&#1086;&#1088;&#1086;&#1074;&#1100;&#1103;%202017%20&#1075;&#1076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8;&#1072;&#1073;&#1083;&#1080;&#1094;&#1099;%20&#1080;%20&#1076;&#1080;&#1072;&#1075;&#1088;&#1072;&#1084;&#1084;&#1099;%20&#1082;%20&#1087;&#1088;&#1086;&#1074;&#1077;&#1088;&#1082;&#1077;\&#1044;&#1080;&#1075;&#1088;&#1072;&#1084;&#1084;&#1099;%20&#1047;&#1076;&#1086;&#1088;&#1086;&#1074;&#1100;&#1103;%202017%20&#1075;&#1076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8;&#1072;&#1073;&#1083;&#1080;&#1094;&#1099;%20&#1080;%20&#1076;&#1080;&#1072;&#1075;&#1088;&#1072;&#1084;&#1084;&#1099;%20&#1082;%20&#1087;&#1088;&#1086;&#1074;&#1077;&#1088;&#1082;&#1077;\&#1044;&#1080;&#1075;&#1088;&#1072;&#1084;&#1084;&#1099;%20&#1047;&#1076;&#1086;&#1088;&#1086;&#1074;&#1100;&#1103;%202017%20&#1075;&#1076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8;&#1072;&#1073;&#1083;&#1080;&#1094;&#1099;%20&#1080;%20&#1076;&#1080;&#1072;&#1075;&#1088;&#1072;&#1084;&#1084;&#1099;%20&#1082;%20&#1087;&#1088;&#1086;&#1074;&#1077;&#1088;&#1082;&#1077;\&#1044;&#1080;&#1075;&#1088;&#1072;&#1084;&#1084;&#1099;%20&#1047;&#1076;&#1086;&#1088;&#1086;&#1074;&#1100;&#1103;%202017%20&#1075;&#1076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8;&#1072;&#1073;&#1083;&#1080;&#1094;&#1099;%20&#1080;%20&#1076;&#1080;&#1072;&#1075;&#1088;&#1072;&#1084;&#1084;&#1099;%20&#1082;%20&#1087;&#1088;&#1086;&#1074;&#1077;&#1088;&#1082;&#1077;\&#1044;&#1080;&#1075;&#1088;&#1072;&#1084;&#1084;&#1099;%20&#1047;&#1076;&#1086;&#1088;&#1086;&#1074;&#1100;&#1103;%202017%20&#1075;&#1076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8;&#1072;&#1073;&#1083;&#1080;&#1094;&#1099;%20&#1080;%20&#1076;&#1080;&#1072;&#1075;&#1088;&#1072;&#1084;&#1084;&#1099;%20&#1082;%20&#1087;&#1088;&#1086;&#1074;&#1077;&#1088;&#1082;&#1077;\&#1044;&#1080;&#1075;&#1088;&#1072;&#1084;&#1084;&#1099;%20&#1047;&#1076;&#1086;&#1088;&#1086;&#1074;&#1100;&#1103;%202017%20&#1075;&#1076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8;&#1072;&#1073;&#1083;&#1080;&#1094;&#1099;%20&#1080;%20&#1076;&#1080;&#1072;&#1075;&#1088;&#1072;&#1084;&#1084;&#1099;%20&#1082;%20&#1087;&#1088;&#1086;&#1074;&#1077;&#1088;&#1082;&#1077;\&#1044;&#1080;&#1075;&#1088;&#1072;&#1084;&#1084;&#1099;%20&#1047;&#1076;&#1086;&#1088;&#1086;&#1074;&#1100;&#1103;%202017%20&#1075;&#1076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8;&#1072;&#1073;&#1083;&#1080;&#1094;&#1099;%20&#1080;%20&#1076;&#1080;&#1072;&#1075;&#1088;&#1072;&#1084;&#1084;&#1099;%20&#1082;%20&#1087;&#1088;&#1086;&#1074;&#1077;&#1088;&#1082;&#1077;\&#1044;&#1080;&#1075;&#1088;&#1072;&#1084;&#1084;&#1099;%20&#1047;&#1076;&#1086;&#1088;&#1086;&#1074;&#1100;&#1103;%202017%20&#1075;&#107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8;&#1072;&#1073;&#1083;&#1080;&#1094;&#1099;%20&#1080;%20&#1076;&#1080;&#1072;&#1075;&#1088;&#1072;&#1084;&#1084;&#1099;%20&#1082;%20&#1087;&#1088;&#1086;&#1074;&#1077;&#1088;&#1082;&#1077;\&#1044;&#1080;&#1075;&#1088;&#1072;&#1084;&#1084;&#1099;%20&#1047;&#1076;&#1086;&#1088;&#1086;&#1074;&#1100;&#1103;%202017%20&#1075;&#1076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8;&#1072;&#1073;&#1083;&#1080;&#1094;&#1099;%20&#1080;%20&#1076;&#1080;&#1072;&#1075;&#1088;&#1072;&#1084;&#1084;&#1099;%20&#1082;%20&#1087;&#1088;&#1086;&#1074;&#1077;&#1088;&#1082;&#1077;\&#1044;&#1080;&#1075;&#1088;&#1072;&#1084;&#1084;&#1099;%20&#1047;&#1076;&#1086;&#1088;&#1086;&#1074;&#1100;&#1103;%202017%20&#1075;&#1076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8;&#1072;&#1073;&#1083;&#1080;&#1094;&#1099;%20&#1080;%20&#1076;&#1080;&#1072;&#1075;&#1088;&#1072;&#1084;&#1084;&#1099;%20&#1082;%20&#1087;&#1088;&#1086;&#1074;&#1077;&#1088;&#1082;&#1077;\&#1044;&#1080;&#1075;&#1088;&#1072;&#1084;&#1084;&#1099;%20&#1047;&#1076;&#1086;&#1088;&#1086;&#1074;&#1100;&#1103;%202017%20&#1075;&#1076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8;&#1072;&#1073;&#1083;&#1080;&#1094;&#1099;%20&#1080;%20&#1076;&#1080;&#1072;&#1075;&#1088;&#1072;&#1084;&#1084;&#1099;%20&#1082;%20&#1087;&#1088;&#1086;&#1074;&#1077;&#1088;&#1082;&#1077;\&#1044;&#1080;&#1075;&#1088;&#1072;&#1084;&#1084;&#1099;%20&#1047;&#1076;&#1086;&#1088;&#1086;&#1074;&#1100;&#1103;%202017%20&#1075;&#1076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8;&#1072;&#1073;&#1083;&#1080;&#1094;&#1099;%20&#1080;%20&#1076;&#1080;&#1072;&#1075;&#1088;&#1072;&#1084;&#1084;&#1099;%20&#1082;%20&#1087;&#1088;&#1086;&#1074;&#1077;&#1088;&#1082;&#1077;\&#1051;&#1080;&#1089;&#1090;%20Microsoft%20Office%20Excel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8;&#1072;&#1073;&#1083;&#1080;&#1094;&#1099;%20&#1080;%20&#1076;&#1080;&#1072;&#1075;&#1088;&#1072;&#1084;&#1084;&#1099;%20&#1082;%20&#1087;&#1088;&#1086;&#1074;&#1077;&#1088;&#1082;&#1077;\&#1051;&#1080;&#1089;&#1090;%20Microsoft%20Office%20Excel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8;&#1072;&#1073;&#1083;&#1080;&#1094;&#1099;%20&#1080;%20&#1076;&#1080;&#1072;&#1075;&#1088;&#1072;&#1084;&#1084;&#1099;%20&#1082;%20&#1087;&#1088;&#1086;&#1074;&#1077;&#1088;&#1082;&#1077;\&#1051;&#1080;&#1089;&#1090;%20Microsoft%20Office%20Excel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8;&#1072;&#1073;&#1083;&#1080;&#1094;&#1099;%20&#1080;%20&#1076;&#1080;&#1072;&#1075;&#1088;&#1072;&#1084;&#1084;&#1099;%20&#1082;%20&#1087;&#1088;&#1086;&#1074;&#1077;&#1088;&#1082;&#1077;\&#1051;&#1080;&#1089;&#1090;%20Microsoft%20Office%20Excel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8;&#1072;&#1073;&#1083;&#1080;&#1094;&#1099;%20&#1080;%20&#1076;&#1080;&#1072;&#1075;&#1088;&#1072;&#1084;&#1084;&#1099;%20&#1082;%20&#1087;&#1088;&#1086;&#1074;&#1077;&#1088;&#1082;&#1077;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8;&#1072;&#1073;&#1083;&#1080;&#1094;&#1099;%20&#1080;%20&#1076;&#1080;&#1072;&#1075;&#1088;&#1072;&#1084;&#1084;&#1099;%20&#1082;%20&#1087;&#1088;&#1086;&#1074;&#1077;&#1088;&#1082;&#1077;\&#1044;&#1080;&#1075;&#1088;&#1072;&#1084;&#1084;&#1099;%20&#1047;&#1076;&#1086;&#1088;&#1086;&#1074;&#1100;&#1103;%202017%20&#1075;&#1076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8;&#1072;&#1073;&#1083;&#1080;&#1094;&#1099;%20&#1080;%20&#1076;&#1080;&#1072;&#1075;&#1088;&#1072;&#1084;&#1084;&#1099;%20&#1082;%20&#1087;&#1088;&#1086;&#1074;&#1077;&#1088;&#1082;&#1077;\&#1044;&#1080;&#1075;&#1088;&#1072;&#1084;&#1084;&#1099;%20&#1047;&#1076;&#1086;&#1088;&#1086;&#1074;&#1100;&#1103;%202017%20&#1075;&#1076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8;&#1072;&#1073;&#1083;&#1080;&#1094;&#1099;%20&#1080;%20&#1076;&#1080;&#1072;&#1075;&#1088;&#1072;&#1084;&#1084;&#1099;%20&#1082;%20&#1087;&#1088;&#1086;&#1074;&#1077;&#1088;&#1082;&#1077;\&#1044;&#1080;&#1075;&#1088;&#1072;&#1084;&#1084;&#1099;%20&#1047;&#1076;&#1086;&#1088;&#1086;&#1074;&#1100;&#1103;%202017%20&#1075;&#1076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8;&#1072;&#1073;&#1083;&#1080;&#1094;&#1099;%20&#1080;%20&#1076;&#1080;&#1072;&#1075;&#1088;&#1072;&#1084;&#1084;&#1099;%20&#1082;%20&#1087;&#1088;&#1086;&#1074;&#1077;&#1088;&#1082;&#1077;\&#1044;&#1080;&#1075;&#1088;&#1072;&#1084;&#1084;&#1099;%20&#1047;&#1076;&#1086;&#1088;&#1086;&#1074;&#1100;&#1103;%202017%20&#1075;&#1076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8;&#1072;&#1073;&#1083;&#1080;&#1094;&#1099;%20&#1080;%20&#1076;&#1080;&#1072;&#1075;&#1088;&#1072;&#1084;&#1084;&#1099;%20&#1082;%20&#1087;&#1088;&#1086;&#1074;&#1077;&#1088;&#1082;&#1077;\&#1044;&#1080;&#1075;&#1088;&#1072;&#1084;&#1084;&#1099;%20&#1047;&#1076;&#1086;&#1088;&#1086;&#1074;&#1100;&#1103;%202017%20&#1075;&#1076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8;&#1072;&#1073;&#1083;&#1080;&#1094;&#1099;%20&#1080;%20&#1076;&#1080;&#1072;&#1075;&#1088;&#1072;&#1084;&#1084;&#1099;%20&#1082;%20&#1087;&#1088;&#1086;&#1074;&#1077;&#1088;&#1082;&#1077;\&#1044;&#1080;&#1075;&#1088;&#1072;&#1084;&#1084;&#1099;%20&#1047;&#1076;&#1086;&#1088;&#1086;&#1074;&#1100;&#1103;%202017%20&#1075;&#1076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8;&#1072;&#1073;&#1083;&#1080;&#1094;&#1099;%20&#1080;%20&#1076;&#1080;&#1072;&#1075;&#1088;&#1072;&#1084;&#1084;&#1099;%20&#1082;%20&#1087;&#1088;&#1086;&#1074;&#1077;&#1088;&#1082;&#1077;\&#1044;&#1080;&#1075;&#1088;&#1072;&#1084;&#1084;&#1099;%20&#1047;&#1076;&#1086;&#1088;&#1086;&#1074;&#1100;&#1103;%202017%20&#1075;&#10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учащихся, состоящих на диспансерном учёте</a:t>
            </a:r>
          </a:p>
          <a:p>
            <a:pPr>
              <a:defRPr sz="1600"/>
            </a:pPr>
            <a:r>
              <a:rPr lang="ru-RU" sz="1600"/>
              <a:t>(болезни</a:t>
            </a:r>
            <a:r>
              <a:rPr lang="ru-RU" sz="1600" baseline="0"/>
              <a:t> органов дыхания)</a:t>
            </a:r>
            <a:endParaRPr lang="ru-RU" sz="1600"/>
          </a:p>
        </c:rich>
      </c:tx>
    </c:title>
    <c:view3D>
      <c:perspective val="30"/>
    </c:view3D>
    <c:plotArea>
      <c:layout/>
      <c:line3DChart>
        <c:grouping val="standard"/>
        <c:ser>
          <c:idx val="0"/>
          <c:order val="0"/>
          <c:dPt>
            <c:idx val="2"/>
            <c:spPr>
              <a:solidFill>
                <a:srgbClr val="CC00CC"/>
              </a:solidFill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Лист1!$A$4:$A$6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Лист1!$B$4:$B$6</c:f>
              <c:numCache>
                <c:formatCode>General</c:formatCode>
                <c:ptCount val="3"/>
                <c:pt idx="0">
                  <c:v>21</c:v>
                </c:pt>
                <c:pt idx="1">
                  <c:v>36</c:v>
                </c:pt>
                <c:pt idx="2">
                  <c:v>33</c:v>
                </c:pt>
              </c:numCache>
            </c:numRef>
          </c:val>
        </c:ser>
        <c:dLbls>
          <c:showVal val="1"/>
        </c:dLbls>
        <c:axId val="81580800"/>
        <c:axId val="81587584"/>
        <c:axId val="65894144"/>
      </c:line3DChart>
      <c:catAx>
        <c:axId val="8158080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81587584"/>
        <c:crosses val="autoZero"/>
        <c:auto val="1"/>
        <c:lblAlgn val="ctr"/>
        <c:lblOffset val="100"/>
      </c:catAx>
      <c:valAx>
        <c:axId val="8158758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учащихся</a:t>
                </a: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1580800"/>
        <c:crosses val="autoZero"/>
        <c:crossBetween val="between"/>
      </c:valAx>
      <c:serAx>
        <c:axId val="65894144"/>
        <c:scaling>
          <c:orientation val="minMax"/>
        </c:scaling>
        <c:delete val="1"/>
        <c:axPos val="b"/>
        <c:tickLblPos val="none"/>
        <c:crossAx val="81587584"/>
        <c:crosses val="autoZero"/>
      </c:ser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solidFill>
      <a:schemeClr val="accent4">
        <a:lumMod val="20000"/>
        <a:lumOff val="80000"/>
      </a:schemeClr>
    </a:solidFill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title>
      <c:tx>
        <c:rich>
          <a:bodyPr/>
          <a:lstStyle/>
          <a:p>
            <a:pPr>
              <a:defRPr/>
            </a:pPr>
            <a:r>
              <a:rPr lang="ru-RU"/>
              <a:t>Заболеваемость</a:t>
            </a:r>
            <a:r>
              <a:rPr lang="ru-RU" baseline="0"/>
              <a:t>  учащихся (прочие)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Количество заболеваний</c:v>
          </c:tx>
          <c:dPt>
            <c:idx val="1"/>
            <c:spPr>
              <a:solidFill>
                <a:schemeClr val="accent4">
                  <a:lumMod val="75000"/>
                </a:schemeClr>
              </a:solidFill>
              <a:ln>
                <a:solidFill>
                  <a:srgbClr val="002060"/>
                </a:solidFill>
              </a:ln>
            </c:spPr>
          </c:dPt>
          <c:dPt>
            <c:idx val="2"/>
            <c:spPr>
              <a:solidFill>
                <a:srgbClr val="007A37"/>
              </a:solidFill>
              <a:ln>
                <a:solidFill>
                  <a:srgbClr val="9BBB59">
                    <a:lumMod val="50000"/>
                  </a:srgbClr>
                </a:solidFill>
              </a:ln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Лист1!$A$200:$A$202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Лист1!$B$200:$B$202</c:f>
              <c:numCache>
                <c:formatCode>General</c:formatCode>
                <c:ptCount val="3"/>
                <c:pt idx="0">
                  <c:v>8</c:v>
                </c:pt>
                <c:pt idx="1">
                  <c:v>9</c:v>
                </c:pt>
                <c:pt idx="2">
                  <c:v>8</c:v>
                </c:pt>
              </c:numCache>
            </c:numRef>
          </c:val>
        </c:ser>
        <c:dLbls>
          <c:showVal val="1"/>
        </c:dLbls>
        <c:shape val="cylinder"/>
        <c:axId val="120555776"/>
        <c:axId val="120582144"/>
        <c:axId val="0"/>
      </c:bar3DChart>
      <c:catAx>
        <c:axId val="120555776"/>
        <c:scaling>
          <c:orientation val="minMax"/>
        </c:scaling>
        <c:axPos val="b"/>
        <c:tickLblPos val="nextTo"/>
        <c:crossAx val="120582144"/>
        <c:crosses val="autoZero"/>
        <c:auto val="1"/>
        <c:lblAlgn val="ctr"/>
        <c:lblOffset val="100"/>
      </c:catAx>
      <c:valAx>
        <c:axId val="12058214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2055577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</c:plotArea>
    <c:plotVisOnly val="1"/>
  </c:chart>
  <c:spPr>
    <a:solidFill>
      <a:schemeClr val="accent2">
        <a:lumMod val="40000"/>
        <a:lumOff val="60000"/>
      </a:schemeClr>
    </a:solidFill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/>
            </a:pPr>
            <a:r>
              <a:rPr lang="ru-RU" sz="1600"/>
              <a:t>Заболеваемость школьников </a:t>
            </a:r>
          </a:p>
          <a:p>
            <a:pPr>
              <a:defRPr/>
            </a:pPr>
            <a:r>
              <a:rPr lang="ru-RU" sz="1600"/>
              <a:t>(заболевания костно-мышечной системы)</a:t>
            </a:r>
          </a:p>
        </c:rich>
      </c:tx>
      <c:layout>
        <c:manualLayout>
          <c:xMode val="edge"/>
          <c:yMode val="edge"/>
          <c:x val="0.18479155730533697"/>
          <c:y val="4.6296296296296346E-3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Количество заболеваний</c:v>
          </c:tx>
          <c:dPt>
            <c:idx val="1"/>
            <c:spPr>
              <a:solidFill>
                <a:srgbClr val="CC00CC"/>
              </a:solidFill>
              <a:ln>
                <a:solidFill>
                  <a:srgbClr val="CC00CC"/>
                </a:solidFill>
              </a:ln>
            </c:spPr>
          </c:dPt>
          <c:dPt>
            <c:idx val="2"/>
            <c:spPr>
              <a:solidFill>
                <a:srgbClr val="007A37"/>
              </a:solidFill>
              <a:ln>
                <a:solidFill>
                  <a:srgbClr val="007A37"/>
                </a:solidFill>
              </a:ln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Лист1!$A$218:$A$220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Лист1!$B$218:$B$220</c:f>
              <c:numCache>
                <c:formatCode>General</c:formatCode>
                <c:ptCount val="3"/>
                <c:pt idx="0">
                  <c:v>34</c:v>
                </c:pt>
                <c:pt idx="1">
                  <c:v>14</c:v>
                </c:pt>
                <c:pt idx="2">
                  <c:v>12</c:v>
                </c:pt>
              </c:numCache>
            </c:numRef>
          </c:val>
        </c:ser>
        <c:dLbls>
          <c:showVal val="1"/>
        </c:dLbls>
        <c:shape val="cone"/>
        <c:axId val="103459456"/>
        <c:axId val="103469440"/>
        <c:axId val="0"/>
      </c:bar3DChart>
      <c:catAx>
        <c:axId val="103459456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3469440"/>
        <c:crosses val="autoZero"/>
        <c:auto val="1"/>
        <c:lblAlgn val="ctr"/>
        <c:lblOffset val="100"/>
      </c:catAx>
      <c:valAx>
        <c:axId val="10346944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345945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</c:plotArea>
    <c:plotVisOnly val="1"/>
  </c:chart>
  <c:spPr>
    <a:solidFill>
      <a:srgbClr val="FFFFCC"/>
    </a:solidFill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0"/>
  <c:chart>
    <c:title>
      <c:tx>
        <c:rich>
          <a:bodyPr/>
          <a:lstStyle/>
          <a:p>
            <a:pPr>
              <a:defRPr/>
            </a:pPr>
            <a:r>
              <a:rPr lang="ru-RU" sz="1600"/>
              <a:t>Заболеваемость школьников (травматизм)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30112483431209924"/>
          <c:y val="0.11114844577589755"/>
          <c:w val="0.66320069523082248"/>
          <c:h val="0.74090561301945324"/>
        </c:manualLayout>
      </c:layout>
      <c:bar3DChart>
        <c:barDir val="col"/>
        <c:grouping val="clustered"/>
        <c:ser>
          <c:idx val="0"/>
          <c:order val="0"/>
          <c:tx>
            <c:v>Количество заболеваний</c:v>
          </c:tx>
          <c:dPt>
            <c:idx val="1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</c:spPr>
          </c:dPt>
          <c:dPt>
            <c:idx val="2"/>
            <c:spPr>
              <a:solidFill>
                <a:srgbClr val="A4C309"/>
              </a:solidFill>
              <a:ln>
                <a:solidFill>
                  <a:srgbClr val="A4C309"/>
                </a:solidFill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Лист1!$A$234:$A$236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Лист1!$B$234:$B$236</c:f>
              <c:numCache>
                <c:formatCode>General</c:formatCode>
                <c:ptCount val="3"/>
                <c:pt idx="0">
                  <c:v>8</c:v>
                </c:pt>
                <c:pt idx="1">
                  <c:v>19</c:v>
                </c:pt>
                <c:pt idx="2">
                  <c:v>17</c:v>
                </c:pt>
              </c:numCache>
            </c:numRef>
          </c:val>
        </c:ser>
        <c:dLbls>
          <c:showVal val="1"/>
        </c:dLbls>
        <c:shape val="box"/>
        <c:axId val="103852672"/>
        <c:axId val="103932288"/>
        <c:axId val="0"/>
      </c:bar3DChart>
      <c:catAx>
        <c:axId val="10385267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3932288"/>
        <c:crosses val="autoZero"/>
        <c:auto val="1"/>
        <c:lblAlgn val="ctr"/>
        <c:lblOffset val="100"/>
      </c:catAx>
      <c:valAx>
        <c:axId val="10393228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385267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="1"/>
            </a:pPr>
            <a:endParaRPr lang="ru-RU"/>
          </a:p>
        </c:txPr>
      </c:dTable>
    </c:plotArea>
    <c:plotVisOnly val="1"/>
  </c:chart>
  <c:spPr>
    <a:solidFill>
      <a:srgbClr val="EEFBAF"/>
    </a:solidFill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8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Заболеваемость учащихся (заболевания глаз)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Количество заболеваний</c:v>
          </c:tx>
          <c:dPt>
            <c:idx val="0"/>
            <c:spPr>
              <a:solidFill>
                <a:srgbClr val="007A37"/>
              </a:solidFill>
              <a:ln>
                <a:solidFill>
                  <a:schemeClr val="accent3">
                    <a:lumMod val="75000"/>
                  </a:schemeClr>
                </a:solidFill>
              </a:ln>
            </c:spPr>
          </c:dPt>
          <c:dPt>
            <c:idx val="2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Лист1!$A$279:$A$281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Лист1!$B$279:$B$281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12</c:v>
                </c:pt>
              </c:numCache>
            </c:numRef>
          </c:val>
        </c:ser>
        <c:dLbls>
          <c:showVal val="1"/>
        </c:dLbls>
        <c:shape val="cylinder"/>
        <c:axId val="103971456"/>
        <c:axId val="103977344"/>
        <c:axId val="0"/>
      </c:bar3DChart>
      <c:catAx>
        <c:axId val="10397145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3977344"/>
        <c:crosses val="autoZero"/>
        <c:auto val="1"/>
        <c:lblAlgn val="ctr"/>
        <c:lblOffset val="100"/>
      </c:catAx>
      <c:valAx>
        <c:axId val="10397734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397145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</c:plotArea>
    <c:plotVisOnly val="1"/>
  </c:chart>
  <c:spPr>
    <a:solidFill>
      <a:schemeClr val="accent3">
        <a:lumMod val="20000"/>
        <a:lumOff val="80000"/>
      </a:schemeClr>
    </a:solidFill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Заболеваемость школьников </a:t>
            </a:r>
          </a:p>
          <a:p>
            <a:pPr>
              <a:defRPr sz="1600"/>
            </a:pPr>
            <a:r>
              <a:rPr lang="ru-RU" sz="1600"/>
              <a:t>(заболевания кожи и подкожной клетчатки)</a:t>
            </a:r>
          </a:p>
        </c:rich>
      </c:tx>
      <c:layout>
        <c:manualLayout>
          <c:xMode val="edge"/>
          <c:yMode val="edge"/>
          <c:x val="0.20758254317309438"/>
          <c:y val="1.6190494891380467E-3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Количество заболеваний</c:v>
          </c:tx>
          <c:dPt>
            <c:idx val="1"/>
            <c:spPr>
              <a:solidFill>
                <a:srgbClr val="FF0000"/>
              </a:solidFill>
              <a:ln>
                <a:solidFill>
                  <a:srgbClr val="C00000"/>
                </a:solidFill>
              </a:ln>
            </c:spPr>
          </c:dPt>
          <c:dPt>
            <c:idx val="2"/>
            <c:spPr>
              <a:solidFill>
                <a:srgbClr val="CC0099"/>
              </a:solidFill>
              <a:ln>
                <a:solidFill>
                  <a:srgbClr val="CC0099"/>
                </a:solidFill>
              </a:ln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Лист1!$A$305:$A$307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Лист1!$B$305:$B$307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</c:ser>
        <c:dLbls>
          <c:showVal val="1"/>
        </c:dLbls>
        <c:shape val="cone"/>
        <c:axId val="103987840"/>
        <c:axId val="104022400"/>
        <c:axId val="0"/>
      </c:bar3DChart>
      <c:catAx>
        <c:axId val="103987840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4022400"/>
        <c:crosses val="autoZero"/>
        <c:auto val="1"/>
        <c:lblAlgn val="ctr"/>
        <c:lblOffset val="100"/>
      </c:catAx>
      <c:valAx>
        <c:axId val="10402240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398784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</c:plotArea>
    <c:plotVisOnly val="1"/>
  </c:chart>
  <c:spPr>
    <a:solidFill>
      <a:srgbClr val="FFFF99"/>
    </a:solidFill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0"/>
  <c:chart>
    <c:title>
      <c:tx>
        <c:rich>
          <a:bodyPr/>
          <a:lstStyle/>
          <a:p>
            <a:pPr>
              <a:defRPr/>
            </a:pPr>
            <a:r>
              <a:rPr lang="ru-RU" sz="1600"/>
              <a:t>Заболеваемость школьников </a:t>
            </a:r>
          </a:p>
          <a:p>
            <a:pPr>
              <a:defRPr/>
            </a:pPr>
            <a:r>
              <a:rPr lang="ru-RU" sz="1600"/>
              <a:t>(заболевания органов кровообращения)</a:t>
            </a:r>
          </a:p>
        </c:rich>
      </c:tx>
    </c:title>
    <c:view3D>
      <c:perspective val="30"/>
    </c:view3D>
    <c:plotArea>
      <c:layout/>
      <c:line3DChart>
        <c:grouping val="standard"/>
        <c:ser>
          <c:idx val="0"/>
          <c:order val="0"/>
          <c:tx>
            <c:v>Количество заболеваний</c:v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Лист1!$A$324:$A$326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Лист1!$B$324:$B$326</c:f>
              <c:numCache>
                <c:formatCode>General</c:formatCode>
                <c:ptCount val="3"/>
                <c:pt idx="0">
                  <c:v>4</c:v>
                </c:pt>
                <c:pt idx="1">
                  <c:v>7</c:v>
                </c:pt>
                <c:pt idx="2">
                  <c:v>4</c:v>
                </c:pt>
              </c:numCache>
            </c:numRef>
          </c:val>
        </c:ser>
        <c:dLbls>
          <c:showVal val="1"/>
        </c:dLbls>
        <c:axId val="103966592"/>
        <c:axId val="103968128"/>
        <c:axId val="71579840"/>
      </c:line3DChart>
      <c:catAx>
        <c:axId val="10396659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3968128"/>
        <c:crosses val="autoZero"/>
        <c:auto val="1"/>
        <c:lblAlgn val="ctr"/>
        <c:lblOffset val="100"/>
      </c:catAx>
      <c:valAx>
        <c:axId val="10396812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3966592"/>
        <c:crosses val="autoZero"/>
        <c:crossBetween val="between"/>
      </c:valAx>
      <c:serAx>
        <c:axId val="71579840"/>
        <c:scaling>
          <c:orientation val="minMax"/>
        </c:scaling>
        <c:delete val="1"/>
        <c:axPos val="b"/>
        <c:tickLblPos val="none"/>
        <c:crossAx val="103968128"/>
        <c:crosses val="autoZero"/>
      </c:ser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="1"/>
            </a:pPr>
            <a:endParaRPr lang="ru-RU"/>
          </a:p>
        </c:txPr>
      </c:dTable>
    </c:plotArea>
    <c:plotVisOnly val="1"/>
  </c:chart>
  <c:spPr>
    <a:solidFill>
      <a:srgbClr val="CCFFCC"/>
    </a:solidFill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8"/>
  <c:chart>
    <c:title>
      <c:tx>
        <c:rich>
          <a:bodyPr/>
          <a:lstStyle/>
          <a:p>
            <a:pPr>
              <a:defRPr/>
            </a:pPr>
            <a:r>
              <a:rPr lang="ru-RU" sz="1600"/>
              <a:t>Заболеваемость учащихся (заболевания уха, горла, носа)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Количество заболеваний</c:v>
          </c:tx>
          <c:dPt>
            <c:idx val="1"/>
            <c:spPr>
              <a:solidFill>
                <a:srgbClr val="3399FF"/>
              </a:solidFill>
              <a:ln>
                <a:solidFill>
                  <a:schemeClr val="accent5">
                    <a:lumMod val="50000"/>
                  </a:schemeClr>
                </a:solidFill>
              </a:ln>
            </c:spPr>
          </c:dPt>
          <c:dPt>
            <c:idx val="2"/>
            <c:spPr>
              <a:solidFill>
                <a:srgbClr val="008000"/>
              </a:solidFill>
              <a:ln>
                <a:solidFill>
                  <a:srgbClr val="008000"/>
                </a:solidFill>
              </a:ln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Лист1!$A$351:$A$353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Лист1!$B$351:$B$353</c:f>
              <c:numCache>
                <c:formatCode>General</c:formatCode>
                <c:ptCount val="3"/>
                <c:pt idx="0">
                  <c:v>27</c:v>
                </c:pt>
                <c:pt idx="1">
                  <c:v>37</c:v>
                </c:pt>
                <c:pt idx="2">
                  <c:v>11</c:v>
                </c:pt>
              </c:numCache>
            </c:numRef>
          </c:val>
        </c:ser>
        <c:dLbls>
          <c:showVal val="1"/>
        </c:dLbls>
        <c:shape val="cylinder"/>
        <c:axId val="104070144"/>
        <c:axId val="104436480"/>
        <c:axId val="0"/>
      </c:bar3DChart>
      <c:catAx>
        <c:axId val="10407014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4436480"/>
        <c:crosses val="autoZero"/>
        <c:auto val="1"/>
        <c:lblAlgn val="ctr"/>
        <c:lblOffset val="100"/>
      </c:catAx>
      <c:valAx>
        <c:axId val="10443648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407014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</c:plotArea>
    <c:plotVisOnly val="1"/>
  </c:chart>
  <c:spPr>
    <a:solidFill>
      <a:srgbClr val="CCFF99"/>
    </a:solidFill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0"/>
  <c:chart>
    <c:title>
      <c:tx>
        <c:rich>
          <a:bodyPr/>
          <a:lstStyle/>
          <a:p>
            <a:pPr>
              <a:defRPr/>
            </a:pPr>
            <a:r>
              <a:rPr lang="ru-RU" sz="1600"/>
              <a:t>Заболеваемость учащихся </a:t>
            </a:r>
          </a:p>
          <a:p>
            <a:pPr>
              <a:defRPr/>
            </a:pPr>
            <a:r>
              <a:rPr lang="ru-RU" sz="1600"/>
              <a:t>(заболевания органов пищеварения)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Количество заболеваний</c:v>
          </c:tx>
          <c:dPt>
            <c:idx val="1"/>
            <c:spPr>
              <a:solidFill>
                <a:schemeClr val="accent6">
                  <a:lumMod val="50000"/>
                </a:schemeClr>
              </a:solidFill>
              <a:ln>
                <a:solidFill>
                  <a:schemeClr val="accent6">
                    <a:lumMod val="50000"/>
                  </a:schemeClr>
                </a:solidFill>
              </a:ln>
            </c:spPr>
          </c:dPt>
          <c:dPt>
            <c:idx val="2"/>
            <c:spPr>
              <a:solidFill>
                <a:srgbClr val="922F1E"/>
              </a:solidFill>
              <a:ln>
                <a:solidFill>
                  <a:srgbClr val="922F1E"/>
                </a:solidFill>
              </a:ln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Лист1!$A$376:$A$378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Лист1!$B$376:$B$378</c:f>
              <c:numCache>
                <c:formatCode>General</c:formatCode>
                <c:ptCount val="3"/>
                <c:pt idx="0">
                  <c:v>31</c:v>
                </c:pt>
                <c:pt idx="1">
                  <c:v>46</c:v>
                </c:pt>
                <c:pt idx="2">
                  <c:v>35</c:v>
                </c:pt>
              </c:numCache>
            </c:numRef>
          </c:val>
        </c:ser>
        <c:dLbls>
          <c:showVal val="1"/>
        </c:dLbls>
        <c:shape val="pyramid"/>
        <c:axId val="104446976"/>
        <c:axId val="104612608"/>
        <c:axId val="0"/>
      </c:bar3DChart>
      <c:catAx>
        <c:axId val="104446976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4612608"/>
        <c:crosses val="autoZero"/>
        <c:auto val="1"/>
        <c:lblAlgn val="ctr"/>
        <c:lblOffset val="100"/>
      </c:catAx>
      <c:valAx>
        <c:axId val="10461260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444697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</c:plotArea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title>
      <c:tx>
        <c:rich>
          <a:bodyPr/>
          <a:lstStyle/>
          <a:p>
            <a:pPr>
              <a:defRPr/>
            </a:pPr>
            <a:r>
              <a:rPr lang="ru-RU" sz="1600"/>
              <a:t>Заболеваемость учащихся (заболевания почек)</a:t>
            </a:r>
          </a:p>
        </c:rich>
      </c:tx>
    </c:title>
    <c:view3D>
      <c:perspective val="30"/>
    </c:view3D>
    <c:plotArea>
      <c:layout/>
      <c:line3DChart>
        <c:grouping val="standard"/>
        <c:ser>
          <c:idx val="0"/>
          <c:order val="0"/>
          <c:tx>
            <c:v>Количество заболеваний</c:v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Лист1!$A$401:$A$403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Лист1!$B$401:$B$403</c:f>
              <c:numCache>
                <c:formatCode>General</c:formatCode>
                <c:ptCount val="3"/>
                <c:pt idx="0">
                  <c:v>5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104065280"/>
        <c:axId val="115294208"/>
        <c:axId val="72125056"/>
      </c:line3DChart>
      <c:catAx>
        <c:axId val="10406528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15294208"/>
        <c:crosses val="autoZero"/>
        <c:auto val="1"/>
        <c:lblAlgn val="ctr"/>
        <c:lblOffset val="100"/>
      </c:catAx>
      <c:valAx>
        <c:axId val="11529420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4065280"/>
        <c:crosses val="autoZero"/>
        <c:crossBetween val="between"/>
      </c:valAx>
      <c:serAx>
        <c:axId val="72125056"/>
        <c:scaling>
          <c:orientation val="minMax"/>
        </c:scaling>
        <c:delete val="1"/>
        <c:axPos val="b"/>
        <c:tickLblPos val="none"/>
        <c:crossAx val="115294208"/>
        <c:crosses val="autoZero"/>
      </c:ser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="1"/>
            </a:pPr>
            <a:endParaRPr lang="ru-RU"/>
          </a:p>
        </c:txPr>
      </c:dTable>
    </c:plotArea>
    <c:plotVisOnly val="1"/>
  </c:chart>
  <c:spPr>
    <a:solidFill>
      <a:srgbClr val="F8BEED"/>
    </a:solidFill>
  </c:sp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title>
      <c:tx>
        <c:rich>
          <a:bodyPr/>
          <a:lstStyle/>
          <a:p>
            <a:pPr>
              <a:defRPr/>
            </a:pPr>
            <a:r>
              <a:rPr lang="ru-RU" sz="1600"/>
              <a:t>Заболеваемость школьников (ОРВИ)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Количество заболеваний</c:v>
          </c:tx>
          <c:dPt>
            <c:idx val="1"/>
            <c:spPr>
              <a:solidFill>
                <a:srgbClr val="FF0066"/>
              </a:solidFill>
              <a:ln>
                <a:solidFill>
                  <a:srgbClr val="FF0066"/>
                </a:solidFill>
              </a:ln>
            </c:spPr>
          </c:dPt>
          <c:dPt>
            <c:idx val="2"/>
            <c:spPr>
              <a:solidFill>
                <a:srgbClr val="FF99FF"/>
              </a:solidFill>
              <a:ln>
                <a:solidFill>
                  <a:schemeClr val="accent4">
                    <a:lumMod val="75000"/>
                  </a:schemeClr>
                </a:solidFill>
              </a:ln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Лист1!$A$431:$A$433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Лист1!$B$431:$B$433</c:f>
              <c:numCache>
                <c:formatCode>General</c:formatCode>
                <c:ptCount val="3"/>
                <c:pt idx="0">
                  <c:v>514</c:v>
                </c:pt>
                <c:pt idx="1">
                  <c:v>530</c:v>
                </c:pt>
                <c:pt idx="2">
                  <c:v>442</c:v>
                </c:pt>
              </c:numCache>
            </c:numRef>
          </c:val>
        </c:ser>
        <c:dLbls>
          <c:showVal val="1"/>
        </c:dLbls>
        <c:shape val="cylinder"/>
        <c:axId val="117206400"/>
        <c:axId val="117245056"/>
        <c:axId val="0"/>
      </c:bar3DChart>
      <c:catAx>
        <c:axId val="11720640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17245056"/>
        <c:crosses val="autoZero"/>
        <c:auto val="1"/>
        <c:lblAlgn val="ctr"/>
        <c:lblOffset val="100"/>
      </c:catAx>
      <c:valAx>
        <c:axId val="1172450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1720640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</c:plotArea>
    <c:plotVisOnly val="1"/>
  </c:chart>
  <c:spPr>
    <a:solidFill>
      <a:srgbClr val="CCFFCC"/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0"/>
  <c:chart>
    <c:title>
      <c:tx>
        <c:rich>
          <a:bodyPr/>
          <a:lstStyle/>
          <a:p>
            <a:pPr>
              <a:defRPr/>
            </a:pPr>
            <a:r>
              <a:rPr lang="ru-RU" sz="1600"/>
              <a:t>Количество учащихся, состоящих на диспансерном учёте (болезни органов</a:t>
            </a:r>
            <a:r>
              <a:rPr lang="ru-RU" sz="1600" baseline="0"/>
              <a:t> пищеварения)</a:t>
            </a:r>
            <a:endParaRPr lang="ru-RU" sz="1600"/>
          </a:p>
        </c:rich>
      </c:tx>
    </c:title>
    <c:view3D>
      <c:perspective val="30"/>
    </c:view3D>
    <c:plotArea>
      <c:layout/>
      <c:line3DChart>
        <c:grouping val="standard"/>
        <c:ser>
          <c:idx val="0"/>
          <c:order val="0"/>
          <c:spPr>
            <a:ln>
              <a:solidFill>
                <a:schemeClr val="accent2">
                  <a:lumMod val="75000"/>
                </a:schemeClr>
              </a:solidFill>
            </a:ln>
          </c:spPr>
          <c:dPt>
            <c:idx val="1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dPt>
          <c:dPt>
            <c:idx val="2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Лист1!$A$27:$A$29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Лист1!$B$27:$B$29</c:f>
              <c:numCache>
                <c:formatCode>General</c:formatCode>
                <c:ptCount val="3"/>
                <c:pt idx="0">
                  <c:v>14</c:v>
                </c:pt>
                <c:pt idx="1">
                  <c:v>9</c:v>
                </c:pt>
                <c:pt idx="2">
                  <c:v>9</c:v>
                </c:pt>
              </c:numCache>
            </c:numRef>
          </c:val>
        </c:ser>
        <c:dLbls>
          <c:showVal val="1"/>
        </c:dLbls>
        <c:axId val="82568320"/>
        <c:axId val="82877824"/>
        <c:axId val="82867968"/>
      </c:line3DChart>
      <c:catAx>
        <c:axId val="8256832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82877824"/>
        <c:crosses val="autoZero"/>
        <c:auto val="1"/>
        <c:lblAlgn val="ctr"/>
        <c:lblOffset val="100"/>
      </c:catAx>
      <c:valAx>
        <c:axId val="8287782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ru-RU" sz="1200"/>
                  <a:t>Количество учащихся</a:t>
                </a: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82568320"/>
        <c:crosses val="autoZero"/>
        <c:crossBetween val="between"/>
      </c:valAx>
      <c:serAx>
        <c:axId val="82867968"/>
        <c:scaling>
          <c:orientation val="minMax"/>
        </c:scaling>
        <c:delete val="1"/>
        <c:axPos val="b"/>
        <c:tickLblPos val="none"/>
        <c:crossAx val="82877824"/>
        <c:crosses val="autoZero"/>
      </c:ser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solidFill>
      <a:schemeClr val="accent3">
        <a:lumMod val="60000"/>
        <a:lumOff val="40000"/>
      </a:schemeClr>
    </a:solidFill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7"/>
  <c:chart>
    <c:title>
      <c:tx>
        <c:rich>
          <a:bodyPr/>
          <a:lstStyle/>
          <a:p>
            <a:pPr>
              <a:defRPr/>
            </a:pPr>
            <a:r>
              <a:rPr lang="ru-RU" sz="1600"/>
              <a:t>Заболеваемость школьников </a:t>
            </a:r>
          </a:p>
          <a:p>
            <a:pPr>
              <a:defRPr/>
            </a:pPr>
            <a:r>
              <a:rPr lang="ru-RU" sz="1600"/>
              <a:t>(заболевания органов дыхания)</a:t>
            </a:r>
          </a:p>
        </c:rich>
      </c:tx>
      <c:layout>
        <c:manualLayout>
          <c:xMode val="edge"/>
          <c:yMode val="edge"/>
          <c:x val="0.32196552905779185"/>
          <c:y val="1.187824795842613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Количество заболеваний</c:v>
          </c:tx>
          <c:dPt>
            <c:idx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dPt>
          <c:dPt>
            <c:idx val="2"/>
            <c:spPr>
              <a:solidFill>
                <a:srgbClr val="00FF00"/>
              </a:solidFill>
              <a:ln>
                <a:solidFill>
                  <a:srgbClr val="00FF00"/>
                </a:solidFill>
              </a:ln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Лист1!$A$456:$A$458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Лист1!$B$456:$B$458</c:f>
              <c:numCache>
                <c:formatCode>General</c:formatCode>
                <c:ptCount val="3"/>
                <c:pt idx="0">
                  <c:v>6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dLbls>
          <c:showVal val="1"/>
        </c:dLbls>
        <c:shape val="box"/>
        <c:axId val="117738880"/>
        <c:axId val="117757056"/>
        <c:axId val="0"/>
      </c:bar3DChart>
      <c:catAx>
        <c:axId val="11773888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17757056"/>
        <c:crosses val="autoZero"/>
        <c:auto val="1"/>
        <c:lblAlgn val="ctr"/>
        <c:lblOffset val="100"/>
      </c:catAx>
      <c:valAx>
        <c:axId val="1177570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1773888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="1"/>
            </a:pPr>
            <a:endParaRPr lang="ru-RU"/>
          </a:p>
        </c:txPr>
      </c:dTable>
    </c:plotArea>
    <c:plotVisOnly val="1"/>
  </c:chart>
  <c:spPr>
    <a:solidFill>
      <a:srgbClr val="FFFF99"/>
    </a:solidFill>
  </c:sp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8"/>
  <c:chart>
    <c:title>
      <c:tx>
        <c:rich>
          <a:bodyPr/>
          <a:lstStyle/>
          <a:p>
            <a:pPr>
              <a:defRPr/>
            </a:pPr>
            <a:r>
              <a:rPr lang="ru-RU" sz="1600"/>
              <a:t>Заболеваемость учащихся</a:t>
            </a:r>
            <a:r>
              <a:rPr lang="ru-RU" sz="1600" baseline="0"/>
              <a:t> </a:t>
            </a:r>
          </a:p>
          <a:p>
            <a:pPr>
              <a:defRPr/>
            </a:pPr>
            <a:r>
              <a:rPr lang="ru-RU" sz="1600" baseline="0"/>
              <a:t>(инфекционные заболевания (без гриппа и ОРВИ))</a:t>
            </a:r>
            <a:endParaRPr lang="ru-RU" sz="1600"/>
          </a:p>
        </c:rich>
      </c:tx>
      <c:layout>
        <c:manualLayout>
          <c:xMode val="edge"/>
          <c:yMode val="edge"/>
          <c:x val="0.15463177396943029"/>
          <c:y val="2.0611668145798324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Количество заболеваний</c:v>
          </c:tx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Лист1!$A$509:$A$511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Лист1!$B$509:$B$511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</c:ser>
        <c:dLbls>
          <c:showVal val="1"/>
        </c:dLbls>
        <c:shape val="cone"/>
        <c:axId val="117804416"/>
        <c:axId val="117814400"/>
        <c:axId val="0"/>
      </c:bar3DChart>
      <c:catAx>
        <c:axId val="117804416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17814400"/>
        <c:crosses val="autoZero"/>
        <c:auto val="1"/>
        <c:lblAlgn val="ctr"/>
        <c:lblOffset val="100"/>
      </c:catAx>
      <c:valAx>
        <c:axId val="11781440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1780441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="1"/>
            </a:pPr>
            <a:endParaRPr lang="ru-RU"/>
          </a:p>
        </c:txPr>
      </c:dTable>
    </c:plotArea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Заболеваемость учащихся </a:t>
            </a:r>
          </a:p>
          <a:p>
            <a:pPr>
              <a:defRPr sz="1600"/>
            </a:pPr>
            <a:r>
              <a:rPr lang="ru-RU" sz="1600"/>
              <a:t>(острая кишечная инфекция)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Количество заболеваний</c:v>
          </c:tx>
          <c:dPt>
            <c:idx val="1"/>
            <c:spPr>
              <a:solidFill>
                <a:schemeClr val="accent4">
                  <a:lumMod val="50000"/>
                </a:schemeClr>
              </a:solidFill>
              <a:ln>
                <a:solidFill>
                  <a:schemeClr val="accent4">
                    <a:lumMod val="50000"/>
                  </a:schemeClr>
                </a:solidFill>
              </a:ln>
            </c:spPr>
          </c:dPt>
          <c:dPt>
            <c:idx val="2"/>
            <c:spPr>
              <a:solidFill>
                <a:schemeClr val="accent6">
                  <a:lumMod val="50000"/>
                </a:schemeClr>
              </a:solidFill>
              <a:ln>
                <a:solidFill>
                  <a:schemeClr val="accent6">
                    <a:lumMod val="50000"/>
                  </a:schemeClr>
                </a:solidFill>
              </a:ln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Лист1!$A$532:$A$534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Лист1!$B$532:$B$534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shape val="box"/>
        <c:axId val="117865856"/>
        <c:axId val="117904512"/>
        <c:axId val="0"/>
      </c:bar3DChart>
      <c:catAx>
        <c:axId val="117865856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17904512"/>
        <c:crosses val="autoZero"/>
        <c:auto val="1"/>
        <c:lblAlgn val="ctr"/>
        <c:lblOffset val="100"/>
      </c:catAx>
      <c:valAx>
        <c:axId val="11790451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1786585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="1"/>
            </a:pPr>
            <a:endParaRPr lang="ru-RU"/>
          </a:p>
        </c:txPr>
      </c:dTable>
    </c:plotArea>
    <c:plotVisOnly val="1"/>
  </c:chart>
  <c:spPr>
    <a:solidFill>
      <a:srgbClr val="FFFF99"/>
    </a:solidFill>
  </c:sp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учащихся </a:t>
            </a:r>
          </a:p>
          <a:p>
            <a:pPr>
              <a:defRPr/>
            </a:pPr>
            <a:r>
              <a:rPr lang="ru-RU"/>
              <a:t>по физическому развитию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Лист1!$A$31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Лист1!$B$30:$E$30</c:f>
              <c:strCache>
                <c:ptCount val="4"/>
                <c:pt idx="0">
                  <c:v>Среднее</c:v>
                </c:pt>
                <c:pt idx="1">
                  <c:v>Ниже среднего</c:v>
                </c:pt>
                <c:pt idx="2">
                  <c:v>Выше среднего</c:v>
                </c:pt>
                <c:pt idx="3">
                  <c:v>Всего</c:v>
                </c:pt>
              </c:strCache>
            </c:strRef>
          </c:cat>
          <c:val>
            <c:numRef>
              <c:f>Лист1!$B$31:$E$31</c:f>
              <c:numCache>
                <c:formatCode>General</c:formatCode>
                <c:ptCount val="4"/>
                <c:pt idx="0">
                  <c:v>505</c:v>
                </c:pt>
                <c:pt idx="1">
                  <c:v>52</c:v>
                </c:pt>
                <c:pt idx="2">
                  <c:v>65</c:v>
                </c:pt>
                <c:pt idx="3">
                  <c:v>622</c:v>
                </c:pt>
              </c:numCache>
            </c:numRef>
          </c:val>
        </c:ser>
        <c:ser>
          <c:idx val="1"/>
          <c:order val="1"/>
          <c:tx>
            <c:strRef>
              <c:f>Лист1!$A$32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Лист1!$B$30:$E$30</c:f>
              <c:strCache>
                <c:ptCount val="4"/>
                <c:pt idx="0">
                  <c:v>Среднее</c:v>
                </c:pt>
                <c:pt idx="1">
                  <c:v>Ниже среднего</c:v>
                </c:pt>
                <c:pt idx="2">
                  <c:v>Выше среднего</c:v>
                </c:pt>
                <c:pt idx="3">
                  <c:v>Всего</c:v>
                </c:pt>
              </c:strCache>
            </c:strRef>
          </c:cat>
          <c:val>
            <c:numRef>
              <c:f>Лист1!$B$32:$E$32</c:f>
              <c:numCache>
                <c:formatCode>General</c:formatCode>
                <c:ptCount val="4"/>
                <c:pt idx="0">
                  <c:v>491</c:v>
                </c:pt>
                <c:pt idx="1">
                  <c:v>67</c:v>
                </c:pt>
                <c:pt idx="2">
                  <c:v>54</c:v>
                </c:pt>
                <c:pt idx="3">
                  <c:v>612</c:v>
                </c:pt>
              </c:numCache>
            </c:numRef>
          </c:val>
        </c:ser>
        <c:ser>
          <c:idx val="2"/>
          <c:order val="2"/>
          <c:tx>
            <c:strRef>
              <c:f>Лист1!$A$33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Лист1!$B$30:$E$30</c:f>
              <c:strCache>
                <c:ptCount val="4"/>
                <c:pt idx="0">
                  <c:v>Среднее</c:v>
                </c:pt>
                <c:pt idx="1">
                  <c:v>Ниже среднего</c:v>
                </c:pt>
                <c:pt idx="2">
                  <c:v>Выше среднего</c:v>
                </c:pt>
                <c:pt idx="3">
                  <c:v>Всего</c:v>
                </c:pt>
              </c:strCache>
            </c:strRef>
          </c:cat>
          <c:val>
            <c:numRef>
              <c:f>Лист1!$B$33:$E$33</c:f>
              <c:numCache>
                <c:formatCode>General</c:formatCode>
                <c:ptCount val="4"/>
                <c:pt idx="0">
                  <c:v>485</c:v>
                </c:pt>
                <c:pt idx="1">
                  <c:v>73</c:v>
                </c:pt>
                <c:pt idx="2">
                  <c:v>47</c:v>
                </c:pt>
                <c:pt idx="3">
                  <c:v>605</c:v>
                </c:pt>
              </c:numCache>
            </c:numRef>
          </c:val>
        </c:ser>
        <c:shape val="cylinder"/>
        <c:axId val="118059008"/>
        <c:axId val="118060544"/>
        <c:axId val="0"/>
      </c:bar3DChart>
      <c:catAx>
        <c:axId val="118059008"/>
        <c:scaling>
          <c:orientation val="minMax"/>
        </c:scaling>
        <c:axPos val="b"/>
        <c:tickLblPos val="nextTo"/>
        <c:crossAx val="118060544"/>
        <c:crosses val="autoZero"/>
        <c:auto val="1"/>
        <c:lblAlgn val="ctr"/>
        <c:lblOffset val="100"/>
      </c:catAx>
      <c:valAx>
        <c:axId val="11806054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80590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/>
            </a:pPr>
            <a:endParaRPr lang="ru-RU"/>
          </a:p>
        </c:txPr>
      </c:dTable>
    </c:plotArea>
    <c:legend>
      <c:legendPos val="r"/>
      <c:txPr>
        <a:bodyPr/>
        <a:lstStyle/>
        <a:p>
          <a:pPr>
            <a:defRPr sz="1200"/>
          </a:pPr>
          <a:endParaRPr lang="ru-RU"/>
        </a:p>
      </c:txPr>
    </c:legend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учащихся, отнесённых по состоянию здоровья к медицинским группам для занятия физической культурой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Лист1!$A$53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Лист1!$B$52:$E$52</c:f>
              <c:strCache>
                <c:ptCount val="4"/>
                <c:pt idx="0">
                  <c:v>Основная</c:v>
                </c:pt>
                <c:pt idx="1">
                  <c:v>Подготовительная</c:v>
                </c:pt>
                <c:pt idx="2">
                  <c:v>Специальная</c:v>
                </c:pt>
                <c:pt idx="3">
                  <c:v>Всего</c:v>
                </c:pt>
              </c:strCache>
            </c:strRef>
          </c:cat>
          <c:val>
            <c:numRef>
              <c:f>Лист1!$B$53:$E$53</c:f>
              <c:numCache>
                <c:formatCode>General</c:formatCode>
                <c:ptCount val="4"/>
                <c:pt idx="0">
                  <c:v>493</c:v>
                </c:pt>
                <c:pt idx="1">
                  <c:v>111</c:v>
                </c:pt>
                <c:pt idx="2">
                  <c:v>18</c:v>
                </c:pt>
                <c:pt idx="3">
                  <c:v>622</c:v>
                </c:pt>
              </c:numCache>
            </c:numRef>
          </c:val>
        </c:ser>
        <c:ser>
          <c:idx val="1"/>
          <c:order val="1"/>
          <c:tx>
            <c:strRef>
              <c:f>Лист1!$A$54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Лист1!$B$52:$E$52</c:f>
              <c:strCache>
                <c:ptCount val="4"/>
                <c:pt idx="0">
                  <c:v>Основная</c:v>
                </c:pt>
                <c:pt idx="1">
                  <c:v>Подготовительная</c:v>
                </c:pt>
                <c:pt idx="2">
                  <c:v>Специальная</c:v>
                </c:pt>
                <c:pt idx="3">
                  <c:v>Всего</c:v>
                </c:pt>
              </c:strCache>
            </c:strRef>
          </c:cat>
          <c:val>
            <c:numRef>
              <c:f>Лист1!$B$54:$E$54</c:f>
              <c:numCache>
                <c:formatCode>General</c:formatCode>
                <c:ptCount val="4"/>
                <c:pt idx="0">
                  <c:v>493</c:v>
                </c:pt>
                <c:pt idx="1">
                  <c:v>105</c:v>
                </c:pt>
                <c:pt idx="2">
                  <c:v>14</c:v>
                </c:pt>
                <c:pt idx="3">
                  <c:v>612</c:v>
                </c:pt>
              </c:numCache>
            </c:numRef>
          </c:val>
        </c:ser>
        <c:ser>
          <c:idx val="2"/>
          <c:order val="2"/>
          <c:tx>
            <c:strRef>
              <c:f>Лист1!$A$55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Лист1!$B$52:$E$52</c:f>
              <c:strCache>
                <c:ptCount val="4"/>
                <c:pt idx="0">
                  <c:v>Основная</c:v>
                </c:pt>
                <c:pt idx="1">
                  <c:v>Подготовительная</c:v>
                </c:pt>
                <c:pt idx="2">
                  <c:v>Специальная</c:v>
                </c:pt>
                <c:pt idx="3">
                  <c:v>Всего</c:v>
                </c:pt>
              </c:strCache>
            </c:strRef>
          </c:cat>
          <c:val>
            <c:numRef>
              <c:f>Лист1!$B$55:$E$55</c:f>
              <c:numCache>
                <c:formatCode>General</c:formatCode>
                <c:ptCount val="4"/>
                <c:pt idx="0">
                  <c:v>502</c:v>
                </c:pt>
                <c:pt idx="1">
                  <c:v>92</c:v>
                </c:pt>
                <c:pt idx="2">
                  <c:v>11</c:v>
                </c:pt>
                <c:pt idx="3">
                  <c:v>605</c:v>
                </c:pt>
              </c:numCache>
            </c:numRef>
          </c:val>
        </c:ser>
        <c:shape val="pyramid"/>
        <c:axId val="118100736"/>
        <c:axId val="118102272"/>
        <c:axId val="0"/>
      </c:bar3DChart>
      <c:catAx>
        <c:axId val="118100736"/>
        <c:scaling>
          <c:orientation val="minMax"/>
        </c:scaling>
        <c:axPos val="b"/>
        <c:tickLblPos val="nextTo"/>
        <c:crossAx val="118102272"/>
        <c:crosses val="autoZero"/>
        <c:auto val="1"/>
        <c:lblAlgn val="ctr"/>
        <c:lblOffset val="100"/>
      </c:catAx>
      <c:valAx>
        <c:axId val="11810227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81007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  <c:txPr>
        <a:bodyPr/>
        <a:lstStyle/>
        <a:p>
          <a:pPr>
            <a:defRPr sz="1200"/>
          </a:pPr>
          <a:endParaRPr lang="ru-RU"/>
        </a:p>
      </c:txPr>
    </c:legend>
    <c:plotVisOnly val="1"/>
  </c:chart>
  <c:spPr>
    <a:solidFill>
      <a:schemeClr val="accent3">
        <a:lumMod val="20000"/>
        <a:lumOff val="80000"/>
      </a:schemeClr>
    </a:solidFill>
  </c:sp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учащихся по группам здоровья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Лист1!$A$6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Лист1!$B$5:$E$5</c:f>
              <c:strCache>
                <c:ptCount val="4"/>
                <c:pt idx="0">
                  <c:v>Группа здоровья I</c:v>
                </c:pt>
                <c:pt idx="1">
                  <c:v>Группа здоровья II</c:v>
                </c:pt>
                <c:pt idx="2">
                  <c:v>Группа здоровья III</c:v>
                </c:pt>
                <c:pt idx="3">
                  <c:v>Всего</c:v>
                </c:pt>
              </c:strCache>
            </c:strRef>
          </c:cat>
          <c:val>
            <c:numRef>
              <c:f>Лист1!$B$6:$E$6</c:f>
              <c:numCache>
                <c:formatCode>General</c:formatCode>
                <c:ptCount val="4"/>
                <c:pt idx="0">
                  <c:v>152</c:v>
                </c:pt>
                <c:pt idx="1">
                  <c:v>379</c:v>
                </c:pt>
                <c:pt idx="2">
                  <c:v>91</c:v>
                </c:pt>
                <c:pt idx="3">
                  <c:v>622</c:v>
                </c:pt>
              </c:numCache>
            </c:numRef>
          </c:val>
        </c:ser>
        <c:ser>
          <c:idx val="1"/>
          <c:order val="1"/>
          <c:tx>
            <c:strRef>
              <c:f>Лист1!$A$7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Лист1!$B$5:$E$5</c:f>
              <c:strCache>
                <c:ptCount val="4"/>
                <c:pt idx="0">
                  <c:v>Группа здоровья I</c:v>
                </c:pt>
                <c:pt idx="1">
                  <c:v>Группа здоровья II</c:v>
                </c:pt>
                <c:pt idx="2">
                  <c:v>Группа здоровья III</c:v>
                </c:pt>
                <c:pt idx="3">
                  <c:v>Всего</c:v>
                </c:pt>
              </c:strCache>
            </c:strRef>
          </c:cat>
          <c:val>
            <c:numRef>
              <c:f>Лист1!$B$7:$E$7</c:f>
              <c:numCache>
                <c:formatCode>General</c:formatCode>
                <c:ptCount val="4"/>
                <c:pt idx="0">
                  <c:v>163</c:v>
                </c:pt>
                <c:pt idx="1">
                  <c:v>370</c:v>
                </c:pt>
                <c:pt idx="2">
                  <c:v>79</c:v>
                </c:pt>
                <c:pt idx="3">
                  <c:v>612</c:v>
                </c:pt>
              </c:numCache>
            </c:numRef>
          </c:val>
        </c:ser>
        <c:ser>
          <c:idx val="2"/>
          <c:order val="2"/>
          <c:tx>
            <c:strRef>
              <c:f>Лист1!$A$8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Лист1!$B$5:$E$5</c:f>
              <c:strCache>
                <c:ptCount val="4"/>
                <c:pt idx="0">
                  <c:v>Группа здоровья I</c:v>
                </c:pt>
                <c:pt idx="1">
                  <c:v>Группа здоровья II</c:v>
                </c:pt>
                <c:pt idx="2">
                  <c:v>Группа здоровья III</c:v>
                </c:pt>
                <c:pt idx="3">
                  <c:v>Всего</c:v>
                </c:pt>
              </c:strCache>
            </c:strRef>
          </c:cat>
          <c:val>
            <c:numRef>
              <c:f>Лист1!$B$8:$E$8</c:f>
              <c:numCache>
                <c:formatCode>General</c:formatCode>
                <c:ptCount val="4"/>
                <c:pt idx="0">
                  <c:v>110</c:v>
                </c:pt>
                <c:pt idx="1">
                  <c:v>426</c:v>
                </c:pt>
                <c:pt idx="2">
                  <c:v>69</c:v>
                </c:pt>
                <c:pt idx="3">
                  <c:v>605</c:v>
                </c:pt>
              </c:numCache>
            </c:numRef>
          </c:val>
        </c:ser>
        <c:shape val="cylinder"/>
        <c:axId val="118457856"/>
        <c:axId val="118459392"/>
        <c:axId val="81723392"/>
      </c:bar3DChart>
      <c:catAx>
        <c:axId val="118457856"/>
        <c:scaling>
          <c:orientation val="minMax"/>
        </c:scaling>
        <c:axPos val="b"/>
        <c:tickLblPos val="nextTo"/>
        <c:crossAx val="118459392"/>
        <c:crosses val="autoZero"/>
        <c:auto val="1"/>
        <c:lblAlgn val="ctr"/>
        <c:lblOffset val="100"/>
      </c:catAx>
      <c:valAx>
        <c:axId val="11845939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8457856"/>
        <c:crosses val="autoZero"/>
        <c:crossBetween val="between"/>
      </c:valAx>
      <c:serAx>
        <c:axId val="8172339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8459392"/>
        <c:crosses val="autoZero"/>
      </c:ser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учащихся, </a:t>
            </a:r>
          </a:p>
          <a:p>
            <a:pPr>
              <a:defRPr/>
            </a:pPr>
            <a:r>
              <a:rPr lang="ru-RU"/>
              <a:t>состоящих на диспансерном учёте</a:t>
            </a:r>
          </a:p>
        </c:rich>
      </c:tx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dPt>
            <c:idx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</c:spPr>
          </c:dPt>
          <c:dPt>
            <c:idx val="2"/>
            <c:spPr>
              <a:solidFill>
                <a:srgbClr val="FFFF00"/>
              </a:solidFill>
              <a:ln>
                <a:solidFill>
                  <a:srgbClr val="FFFF00"/>
                </a:solidFill>
              </a:ln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Лист1!$A$76:$A$78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Лист1!$B$76:$B$78</c:f>
              <c:numCache>
                <c:formatCode>General</c:formatCode>
                <c:ptCount val="3"/>
                <c:pt idx="0">
                  <c:v>107</c:v>
                </c:pt>
                <c:pt idx="1">
                  <c:v>104</c:v>
                </c:pt>
                <c:pt idx="2">
                  <c:v>96</c:v>
                </c:pt>
              </c:numCache>
            </c:numRef>
          </c:val>
        </c:ser>
        <c:dLbls>
          <c:showVal val="1"/>
        </c:dLbls>
        <c:shape val="cone"/>
        <c:axId val="118909568"/>
        <c:axId val="118931840"/>
        <c:axId val="0"/>
      </c:bar3DChart>
      <c:catAx>
        <c:axId val="118909568"/>
        <c:scaling>
          <c:orientation val="minMax"/>
        </c:scaling>
        <c:axPos val="l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8931840"/>
        <c:crosses val="autoZero"/>
        <c:auto val="1"/>
        <c:lblAlgn val="ctr"/>
        <c:lblOffset val="100"/>
      </c:catAx>
      <c:valAx>
        <c:axId val="118931840"/>
        <c:scaling>
          <c:orientation val="minMax"/>
        </c:scaling>
        <c:axPos val="b"/>
        <c:majorGridlines/>
        <c:numFmt formatCode="General" sourceLinked="1"/>
        <c:tickLblPos val="nextTo"/>
        <c:crossAx val="118909568"/>
        <c:crosses val="autoZero"/>
        <c:crossBetween val="between"/>
      </c:valAx>
    </c:plotArea>
    <c:legend>
      <c:legendPos val="b"/>
      <c:txPr>
        <a:bodyPr/>
        <a:lstStyle/>
        <a:p>
          <a:pPr>
            <a:defRPr sz="1400"/>
          </a:pPr>
          <a:endParaRPr lang="ru-RU"/>
        </a:p>
      </c:txPr>
    </c:legend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8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учащихся, состоящих на диспансерном учёте (с пониженной остротой зрения (миопии))</a:t>
            </a:r>
          </a:p>
        </c:rich>
      </c:tx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Лист1!$A$100:$A$102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Лист1!$B$100:$B$102</c:f>
              <c:numCache>
                <c:formatCode>General</c:formatCode>
                <c:ptCount val="3"/>
                <c:pt idx="0">
                  <c:v>170</c:v>
                </c:pt>
                <c:pt idx="1">
                  <c:v>225</c:v>
                </c:pt>
                <c:pt idx="2">
                  <c:v>230</c:v>
                </c:pt>
              </c:numCache>
            </c:numRef>
          </c:val>
        </c:ser>
        <c:dLbls>
          <c:showVal val="1"/>
        </c:dLbls>
        <c:shape val="cone"/>
        <c:axId val="118945280"/>
        <c:axId val="118946816"/>
        <c:axId val="0"/>
      </c:bar3DChart>
      <c:catAx>
        <c:axId val="118945280"/>
        <c:scaling>
          <c:orientation val="minMax"/>
        </c:scaling>
        <c:axPos val="l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8946816"/>
        <c:crosses val="autoZero"/>
        <c:auto val="1"/>
        <c:lblAlgn val="ctr"/>
        <c:lblOffset val="100"/>
      </c:catAx>
      <c:valAx>
        <c:axId val="118946816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8945280"/>
        <c:crosses val="autoZero"/>
        <c:crossBetween val="between"/>
      </c:valAx>
      <c:dTable>
        <c:showHorzBorder val="1"/>
        <c:showVertBorder val="1"/>
        <c:showOutline val="1"/>
        <c:txPr>
          <a:bodyPr/>
          <a:lstStyle/>
          <a:p>
            <a:pPr rtl="0">
              <a:defRPr sz="1200"/>
            </a:pPr>
            <a:endParaRPr lang="ru-RU"/>
          </a:p>
        </c:txPr>
      </c:dTable>
    </c:plotArea>
    <c:plotVisOnly val="1"/>
  </c:chart>
  <c:spPr>
    <a:solidFill>
      <a:srgbClr val="F79646">
        <a:lumMod val="20000"/>
        <a:lumOff val="80000"/>
      </a:srgb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7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учащихся, состоящих на диспансерном учёте (болезни</a:t>
            </a:r>
            <a:r>
              <a:rPr lang="ru-RU" sz="1600" baseline="0"/>
              <a:t> эндокринной системы)</a:t>
            </a:r>
            <a:endParaRPr lang="ru-RU" sz="1600"/>
          </a:p>
        </c:rich>
      </c:tx>
    </c:title>
    <c:view3D>
      <c:perspective val="30"/>
    </c:view3D>
    <c:plotArea>
      <c:layout/>
      <c:area3DChart>
        <c:grouping val="standard"/>
        <c:ser>
          <c:idx val="0"/>
          <c:order val="0"/>
          <c:tx>
            <c:v>Количество учащихся</c:v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Лист1!$A$47:$A$49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Лист1!$B$47:$B$49</c:f>
              <c:numCache>
                <c:formatCode>General</c:formatCode>
                <c:ptCount val="3"/>
                <c:pt idx="0">
                  <c:v>8</c:v>
                </c:pt>
                <c:pt idx="1">
                  <c:v>11</c:v>
                </c:pt>
                <c:pt idx="2">
                  <c:v>9</c:v>
                </c:pt>
              </c:numCache>
            </c:numRef>
          </c:val>
        </c:ser>
        <c:dLbls>
          <c:showVal val="1"/>
        </c:dLbls>
        <c:axId val="87254912"/>
        <c:axId val="92152960"/>
        <c:axId val="65894592"/>
      </c:area3DChart>
      <c:catAx>
        <c:axId val="8725491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2152960"/>
        <c:crosses val="autoZero"/>
        <c:auto val="1"/>
        <c:lblAlgn val="ctr"/>
        <c:lblOffset val="100"/>
      </c:catAx>
      <c:valAx>
        <c:axId val="9215296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87254912"/>
        <c:crosses val="autoZero"/>
        <c:crossBetween val="midCat"/>
      </c:valAx>
      <c:serAx>
        <c:axId val="65894592"/>
        <c:scaling>
          <c:orientation val="minMax"/>
        </c:scaling>
        <c:delete val="1"/>
        <c:axPos val="b"/>
        <c:tickLblPos val="none"/>
        <c:crossAx val="92152960"/>
        <c:crosses val="autoZero"/>
      </c:ser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</c:plotArea>
    <c:plotVisOnly val="1"/>
  </c:chart>
  <c:spPr>
    <a:solidFill>
      <a:srgbClr val="FFCCCC"/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0"/>
  <c:chart>
    <c:title>
      <c:tx>
        <c:rich>
          <a:bodyPr/>
          <a:lstStyle/>
          <a:p>
            <a:pPr>
              <a:defRPr/>
            </a:pPr>
            <a:r>
              <a:rPr lang="ru-RU" sz="1600"/>
              <a:t>Количество учащихся, состоящих на диспансерном учёте</a:t>
            </a:r>
          </a:p>
          <a:p>
            <a:pPr>
              <a:defRPr/>
            </a:pPr>
            <a:r>
              <a:rPr lang="ru-RU" sz="1600"/>
              <a:t>(болезни</a:t>
            </a:r>
            <a:r>
              <a:rPr lang="ru-RU" sz="1600" baseline="0"/>
              <a:t> глаз)</a:t>
            </a:r>
            <a:endParaRPr lang="ru-RU" sz="1600"/>
          </a:p>
        </c:rich>
      </c:tx>
      <c:layout>
        <c:manualLayout>
          <c:xMode val="edge"/>
          <c:yMode val="edge"/>
          <c:x val="0.15077777777777779"/>
          <c:y val="0"/>
        </c:manualLayout>
      </c:layout>
    </c:title>
    <c:view3D>
      <c:perspective val="30"/>
    </c:view3D>
    <c:plotArea>
      <c:layout/>
      <c:area3DChart>
        <c:grouping val="standard"/>
        <c:ser>
          <c:idx val="0"/>
          <c:order val="0"/>
          <c:tx>
            <c:v>Количество учащихся</c:v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Лист1!$A$68:$A$70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Лист1!$B$68:$B$70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92477696"/>
        <c:axId val="92582656"/>
        <c:axId val="65976064"/>
      </c:area3DChart>
      <c:catAx>
        <c:axId val="92477696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2582656"/>
        <c:crosses val="autoZero"/>
        <c:auto val="1"/>
        <c:lblAlgn val="ctr"/>
        <c:lblOffset val="100"/>
      </c:catAx>
      <c:valAx>
        <c:axId val="925826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2477696"/>
        <c:crosses val="autoZero"/>
        <c:crossBetween val="midCat"/>
      </c:valAx>
      <c:serAx>
        <c:axId val="65976064"/>
        <c:scaling>
          <c:orientation val="minMax"/>
        </c:scaling>
        <c:delete val="1"/>
        <c:axPos val="b"/>
        <c:tickLblPos val="none"/>
        <c:crossAx val="92582656"/>
        <c:crosses val="autoZero"/>
      </c:serAx>
      <c:dTable>
        <c:showHorzBorder val="1"/>
        <c:showVertBorder val="1"/>
        <c:showOutline val="1"/>
        <c:txPr>
          <a:bodyPr/>
          <a:lstStyle/>
          <a:p>
            <a:pPr rtl="0">
              <a:defRPr b="1"/>
            </a:pPr>
            <a:endParaRPr lang="ru-RU"/>
          </a:p>
        </c:txPr>
      </c:dTable>
    </c:plotArea>
    <c:plotVisOnly val="1"/>
  </c:chart>
  <c:spPr>
    <a:solidFill>
      <a:schemeClr val="accent3">
        <a:lumMod val="40000"/>
        <a:lumOff val="60000"/>
      </a:schemeClr>
    </a:solidFill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учащихся, состоящих на диспансерном учёте (болезни уха, горла,носа)</a:t>
            </a:r>
          </a:p>
        </c:rich>
      </c:tx>
      <c:layout>
        <c:manualLayout>
          <c:xMode val="edge"/>
          <c:yMode val="edge"/>
          <c:x val="0.10671437090041756"/>
          <c:y val="9.2592592592592813E-3"/>
        </c:manualLayout>
      </c:layout>
    </c:title>
    <c:view3D>
      <c:perspective val="30"/>
    </c:view3D>
    <c:plotArea>
      <c:layout/>
      <c:area3DChart>
        <c:grouping val="standard"/>
        <c:ser>
          <c:idx val="0"/>
          <c:order val="0"/>
          <c:tx>
            <c:v>Количество учащихся</c:v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Лист1!$A$90:$A$92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Лист1!$B$90:$B$92</c:f>
              <c:numCache>
                <c:formatCode>General</c:formatCode>
                <c:ptCount val="3"/>
                <c:pt idx="0">
                  <c:v>16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</c:ser>
        <c:dLbls>
          <c:showVal val="1"/>
        </c:dLbls>
        <c:axId val="92732800"/>
        <c:axId val="99752960"/>
        <c:axId val="66405696"/>
      </c:area3DChart>
      <c:catAx>
        <c:axId val="9273280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9752960"/>
        <c:crosses val="autoZero"/>
        <c:auto val="1"/>
        <c:lblAlgn val="ctr"/>
        <c:lblOffset val="100"/>
      </c:catAx>
      <c:valAx>
        <c:axId val="9975296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2732800"/>
        <c:crosses val="autoZero"/>
        <c:crossBetween val="midCat"/>
      </c:valAx>
      <c:serAx>
        <c:axId val="66405696"/>
        <c:scaling>
          <c:orientation val="minMax"/>
        </c:scaling>
        <c:delete val="1"/>
        <c:axPos val="b"/>
        <c:tickLblPos val="none"/>
        <c:crossAx val="99752960"/>
        <c:crosses val="autoZero"/>
      </c:ser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</c:plotArea>
    <c:plotVisOnly val="1"/>
  </c:chart>
  <c:spPr>
    <a:solidFill>
      <a:srgbClr val="FFFF66"/>
    </a:solidFill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учащихся, состоящих на диспансерном учёте (болезни нервной системы)</a:t>
            </a:r>
          </a:p>
        </c:rich>
      </c:tx>
    </c:title>
    <c:view3D>
      <c:perspective val="30"/>
    </c:view3D>
    <c:plotArea>
      <c:layout/>
      <c:area3DChart>
        <c:grouping val="standard"/>
        <c:ser>
          <c:idx val="0"/>
          <c:order val="0"/>
          <c:tx>
            <c:v>Количество учащихся</c:v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Лист1!$A$107:$A$109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Лист1!$B$107:$B$109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axId val="101617664"/>
        <c:axId val="101675008"/>
        <c:axId val="68946560"/>
      </c:area3DChart>
      <c:catAx>
        <c:axId val="10161766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1675008"/>
        <c:crosses val="autoZero"/>
        <c:auto val="1"/>
        <c:lblAlgn val="ctr"/>
        <c:lblOffset val="100"/>
      </c:catAx>
      <c:valAx>
        <c:axId val="10167500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1617664"/>
        <c:crosses val="autoZero"/>
        <c:crossBetween val="midCat"/>
      </c:valAx>
      <c:serAx>
        <c:axId val="68946560"/>
        <c:scaling>
          <c:orientation val="minMax"/>
        </c:scaling>
        <c:delete val="1"/>
        <c:axPos val="b"/>
        <c:tickLblPos val="none"/>
        <c:crossAx val="101675008"/>
        <c:crosses val="autoZero"/>
      </c:ser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</c:plotArea>
    <c:plotVisOnly val="1"/>
  </c:chart>
  <c:spPr>
    <a:solidFill>
      <a:schemeClr val="accent2">
        <a:lumMod val="40000"/>
        <a:lumOff val="60000"/>
      </a:schemeClr>
    </a:solidFill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title>
      <c:tx>
        <c:rich>
          <a:bodyPr/>
          <a:lstStyle/>
          <a:p>
            <a:pPr>
              <a:defRPr/>
            </a:pPr>
            <a:r>
              <a:rPr lang="ru-RU" sz="1600"/>
              <a:t>Количество учащихся, состоящих на диспансерном учётет</a:t>
            </a:r>
          </a:p>
          <a:p>
            <a:pPr>
              <a:defRPr/>
            </a:pPr>
            <a:r>
              <a:rPr lang="ru-RU" sz="1600"/>
              <a:t> (болезни мочеполовой системы)</a:t>
            </a:r>
          </a:p>
        </c:rich>
      </c:tx>
      <c:layout>
        <c:manualLayout>
          <c:xMode val="edge"/>
          <c:yMode val="edge"/>
          <c:x val="0.12463969381348948"/>
          <c:y val="3.5394391490537365E-2"/>
        </c:manualLayout>
      </c:layout>
    </c:title>
    <c:view3D>
      <c:perspective val="30"/>
    </c:view3D>
    <c:plotArea>
      <c:layout/>
      <c:line3DChart>
        <c:grouping val="standard"/>
        <c:ser>
          <c:idx val="0"/>
          <c:order val="0"/>
          <c:tx>
            <c:v>Количество учащихся</c:v>
          </c:tx>
          <c:dPt>
            <c:idx val="1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Лист1!$A$132:$A$134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Лист1!$B$132:$B$134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8</c:v>
                </c:pt>
              </c:numCache>
            </c:numRef>
          </c:val>
        </c:ser>
        <c:dLbls>
          <c:showVal val="1"/>
        </c:dLbls>
        <c:axId val="103889152"/>
        <c:axId val="103956480"/>
        <c:axId val="69242368"/>
      </c:line3DChart>
      <c:catAx>
        <c:axId val="10388915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3956480"/>
        <c:crosses val="autoZero"/>
        <c:auto val="1"/>
        <c:lblAlgn val="ctr"/>
        <c:lblOffset val="100"/>
      </c:catAx>
      <c:valAx>
        <c:axId val="10395648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3889152"/>
        <c:crosses val="autoZero"/>
        <c:crossBetween val="between"/>
      </c:valAx>
      <c:serAx>
        <c:axId val="69242368"/>
        <c:scaling>
          <c:orientation val="minMax"/>
        </c:scaling>
        <c:delete val="1"/>
        <c:axPos val="b"/>
        <c:tickLblPos val="none"/>
        <c:crossAx val="103956480"/>
        <c:crosses val="autoZero"/>
      </c:ser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</c:plotArea>
    <c:plotVisOnly val="1"/>
  </c:chart>
  <c:spPr>
    <a:solidFill>
      <a:schemeClr val="accent3">
        <a:lumMod val="40000"/>
        <a:lumOff val="60000"/>
      </a:schemeClr>
    </a:solidFill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8"/>
  <c:chart>
    <c:title>
      <c:tx>
        <c:rich>
          <a:bodyPr/>
          <a:lstStyle/>
          <a:p>
            <a:pPr>
              <a:defRPr/>
            </a:pPr>
            <a:r>
              <a:rPr lang="ru-RU" sz="1600"/>
              <a:t>Количество учащихся, состоящих на диспансерном учёте</a:t>
            </a:r>
            <a:r>
              <a:rPr lang="ru-RU" sz="1600" baseline="0"/>
              <a:t> (болезни кожи и подкожной клетчатки)</a:t>
            </a:r>
            <a:endParaRPr lang="ru-RU" sz="1600"/>
          </a:p>
        </c:rich>
      </c:tx>
    </c:title>
    <c:view3D>
      <c:perspective val="30"/>
    </c:view3D>
    <c:plotArea>
      <c:layout/>
      <c:line3DChart>
        <c:grouping val="standard"/>
        <c:ser>
          <c:idx val="0"/>
          <c:order val="0"/>
          <c:tx>
            <c:v>Количество учащихся</c:v>
          </c:tx>
          <c:spPr>
            <a:solidFill>
              <a:srgbClr val="00B050"/>
            </a:solidFill>
            <a:ln>
              <a:solidFill>
                <a:schemeClr val="accent3">
                  <a:lumMod val="50000"/>
                </a:schemeClr>
              </a:solidFill>
            </a:ln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Лист1!$A$153:$A$155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Лист1!$B$153:$B$155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dLbls>
          <c:showVal val="1"/>
        </c:dLbls>
        <c:axId val="104873984"/>
        <c:axId val="104875904"/>
        <c:axId val="70620480"/>
      </c:line3DChart>
      <c:catAx>
        <c:axId val="10487398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4875904"/>
        <c:crosses val="autoZero"/>
        <c:auto val="1"/>
        <c:lblAlgn val="ctr"/>
        <c:lblOffset val="100"/>
      </c:catAx>
      <c:valAx>
        <c:axId val="10487590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4873984"/>
        <c:crosses val="autoZero"/>
        <c:crossBetween val="between"/>
      </c:valAx>
      <c:serAx>
        <c:axId val="70620480"/>
        <c:scaling>
          <c:orientation val="minMax"/>
        </c:scaling>
        <c:delete val="1"/>
        <c:axPos val="b"/>
        <c:tickLblPos val="none"/>
        <c:crossAx val="104875904"/>
        <c:crosses val="autoZero"/>
      </c:ser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</c:plotArea>
    <c:plotVisOnly val="1"/>
  </c:chart>
  <c:spPr>
    <a:solidFill>
      <a:srgbClr val="CCFFFF"/>
    </a:solidFill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title>
      <c:tx>
        <c:rich>
          <a:bodyPr/>
          <a:lstStyle/>
          <a:p>
            <a:pPr>
              <a:defRPr/>
            </a:pPr>
            <a:r>
              <a:rPr lang="ru-RU"/>
              <a:t>Заболеваемость учащихся (общая)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Количество заболеваний</c:v>
          </c:tx>
          <c:dPt>
            <c:idx val="1"/>
            <c:spPr>
              <a:solidFill>
                <a:srgbClr val="0033CC"/>
              </a:solidFill>
            </c:spPr>
          </c:dPt>
          <c:dPt>
            <c:idx val="2"/>
            <c:spPr>
              <a:solidFill>
                <a:srgbClr val="C00000"/>
              </a:solidFill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inEnd"/>
            <c:showVal val="1"/>
          </c:dLbls>
          <c:cat>
            <c:strRef>
              <c:f>Лист1!$A$176:$A$178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Лист1!$B$176:$B$178</c:f>
              <c:numCache>
                <c:formatCode>General</c:formatCode>
                <c:ptCount val="3"/>
                <c:pt idx="0">
                  <c:v>646</c:v>
                </c:pt>
                <c:pt idx="1">
                  <c:v>712</c:v>
                </c:pt>
                <c:pt idx="2">
                  <c:v>561</c:v>
                </c:pt>
              </c:numCache>
            </c:numRef>
          </c:val>
        </c:ser>
        <c:dLbls>
          <c:showVal val="1"/>
        </c:dLbls>
        <c:axId val="117263744"/>
        <c:axId val="117281920"/>
      </c:barChart>
      <c:catAx>
        <c:axId val="117263744"/>
        <c:scaling>
          <c:orientation val="minMax"/>
        </c:scaling>
        <c:axPos val="b"/>
        <c:tickLblPos val="nextTo"/>
        <c:crossAx val="117281920"/>
        <c:crosses val="autoZero"/>
        <c:auto val="1"/>
        <c:lblAlgn val="ctr"/>
        <c:lblOffset val="100"/>
      </c:catAx>
      <c:valAx>
        <c:axId val="11728192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1726374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  <c:spPr>
        <a:solidFill>
          <a:srgbClr val="FFCC99"/>
        </a:solidFill>
      </c:spPr>
    </c:plotArea>
    <c:plotVisOnly val="1"/>
  </c:chart>
  <c:spPr>
    <a:solidFill>
      <a:schemeClr val="accent5">
        <a:lumMod val="20000"/>
        <a:lumOff val="80000"/>
      </a:schemeClr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2018-04-04T18:14:00Z</dcterms:created>
  <dcterms:modified xsi:type="dcterms:W3CDTF">2018-04-04T19:18:00Z</dcterms:modified>
</cp:coreProperties>
</file>